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77777777"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#99</w:t>
            </w:r>
            <w:r w:rsidRPr="009E704E">
              <w:rPr>
                <w:rFonts w:ascii="Arial" w:hAnsi="Arial" w:cs="Arial"/>
                <w:b/>
                <w:sz w:val="22"/>
                <w:szCs w:val="24"/>
              </w:rPr>
              <w:tab/>
            </w:r>
          </w:p>
          <w:p w14:paraId="1EC84673" w14:textId="14C8B906" w:rsidR="006F40BC" w:rsidRDefault="006F40BC" w:rsidP="006F40BC">
            <w:pPr>
              <w:pStyle w:val="Footer"/>
              <w:jc w:val="both"/>
              <w:rPr>
                <w:rFonts w:cs="Arial"/>
                <w:b w:val="0"/>
                <w:sz w:val="22"/>
                <w:szCs w:val="24"/>
              </w:rPr>
            </w:pPr>
            <w:r>
              <w:rPr>
                <w:rFonts w:cs="Arial"/>
                <w:i w:val="0"/>
                <w:noProof w:val="0"/>
                <w:sz w:val="22"/>
                <w:szCs w:val="24"/>
              </w:rPr>
              <w:t>Reno</w:t>
            </w:r>
            <w:r w:rsidRPr="00AE570A">
              <w:rPr>
                <w:rFonts w:cs="Arial"/>
                <w:i w:val="0"/>
                <w:noProof w:val="0"/>
                <w:sz w:val="22"/>
                <w:szCs w:val="24"/>
              </w:rPr>
              <w:t xml:space="preserve">, </w:t>
            </w:r>
            <w:r>
              <w:rPr>
                <w:rFonts w:cs="Arial"/>
                <w:i w:val="0"/>
                <w:noProof w:val="0"/>
                <w:sz w:val="22"/>
                <w:szCs w:val="24"/>
              </w:rPr>
              <w:t>USA</w:t>
            </w:r>
            <w:r w:rsidRPr="00AE570A">
              <w:rPr>
                <w:rFonts w:cs="Arial"/>
                <w:i w:val="0"/>
                <w:noProof w:val="0"/>
                <w:sz w:val="22"/>
                <w:szCs w:val="24"/>
              </w:rPr>
              <w:t xml:space="preserve">, </w:t>
            </w:r>
            <w:r>
              <w:rPr>
                <w:rFonts w:cs="Arial"/>
                <w:i w:val="0"/>
                <w:noProof w:val="0"/>
                <w:sz w:val="22"/>
                <w:szCs w:val="24"/>
              </w:rPr>
              <w:t xml:space="preserve">November </w:t>
            </w:r>
            <w:r w:rsidRPr="00AE570A">
              <w:rPr>
                <w:rFonts w:cs="Arial"/>
                <w:i w:val="0"/>
                <w:noProof w:val="0"/>
                <w:sz w:val="22"/>
                <w:szCs w:val="24"/>
              </w:rPr>
              <w:t>1</w:t>
            </w:r>
            <w:r>
              <w:rPr>
                <w:rFonts w:cs="Arial"/>
                <w:i w:val="0"/>
                <w:noProof w:val="0"/>
                <w:sz w:val="22"/>
                <w:szCs w:val="24"/>
              </w:rPr>
              <w:t>8</w:t>
            </w:r>
            <w:r w:rsidR="009D2ECE" w:rsidRPr="009D2ECE">
              <w:rPr>
                <w:rFonts w:cs="Arial"/>
                <w:i w:val="0"/>
                <w:noProof w:val="0"/>
                <w:sz w:val="22"/>
                <w:szCs w:val="24"/>
                <w:vertAlign w:val="superscript"/>
              </w:rPr>
              <w:t>th</w:t>
            </w:r>
            <w:r w:rsidR="009D2ECE">
              <w:rPr>
                <w:rFonts w:cs="Arial"/>
                <w:i w:val="0"/>
                <w:noProof w:val="0"/>
                <w:sz w:val="22"/>
                <w:szCs w:val="24"/>
              </w:rPr>
              <w:t xml:space="preserve"> </w:t>
            </w:r>
            <w:r w:rsidRPr="00AE570A">
              <w:rPr>
                <w:rFonts w:cs="Arial"/>
                <w:i w:val="0"/>
                <w:noProof w:val="0"/>
                <w:sz w:val="22"/>
                <w:szCs w:val="24"/>
              </w:rPr>
              <w:t>– 2</w:t>
            </w:r>
            <w:r>
              <w:rPr>
                <w:rFonts w:cs="Arial"/>
                <w:i w:val="0"/>
                <w:noProof w:val="0"/>
                <w:sz w:val="22"/>
                <w:szCs w:val="24"/>
              </w:rPr>
              <w:t>2</w:t>
            </w:r>
            <w:r w:rsidR="009D2ECE" w:rsidRPr="009D2ECE">
              <w:rPr>
                <w:rFonts w:cs="Arial"/>
                <w:i w:val="0"/>
                <w:noProof w:val="0"/>
                <w:sz w:val="22"/>
                <w:szCs w:val="24"/>
                <w:vertAlign w:val="superscript"/>
              </w:rPr>
              <w:t>nd</w:t>
            </w:r>
            <w:r w:rsidRPr="00AE570A">
              <w:rPr>
                <w:rFonts w:cs="Arial"/>
                <w:i w:val="0"/>
                <w:noProof w:val="0"/>
                <w:sz w:val="22"/>
                <w:szCs w:val="24"/>
              </w:rPr>
              <w:t>, 2019</w:t>
            </w:r>
          </w:p>
        </w:tc>
        <w:tc>
          <w:tcPr>
            <w:tcW w:w="2766" w:type="dxa"/>
          </w:tcPr>
          <w:p w14:paraId="2CD915AA" w14:textId="27BC147D" w:rsidR="00BA10B3" w:rsidRDefault="00962883" w:rsidP="00BA10B3">
            <w:pPr>
              <w:tabs>
                <w:tab w:val="right" w:pos="10000"/>
              </w:tabs>
              <w:spacing w:after="0"/>
              <w:jc w:val="right"/>
              <w:rPr>
                <w:rFonts w:ascii="Arial" w:hAnsi="Arial" w:cs="Arial"/>
                <w:b/>
                <w:sz w:val="22"/>
                <w:szCs w:val="24"/>
              </w:rPr>
            </w:pPr>
            <w:r w:rsidRPr="00962883">
              <w:rPr>
                <w:rFonts w:ascii="Arial" w:hAnsi="Arial" w:cs="Arial"/>
                <w:b/>
                <w:sz w:val="22"/>
                <w:szCs w:val="24"/>
              </w:rPr>
              <w:t>R1-1913221</w:t>
            </w:r>
            <w:r w:rsidR="006F40BC">
              <w:rPr>
                <w:rFonts w:ascii="Arial" w:hAnsi="Arial" w:cs="Arial"/>
                <w:b/>
                <w:sz w:val="22"/>
                <w:szCs w:val="24"/>
              </w:rPr>
              <w:t xml:space="preserve"> </w:t>
            </w:r>
          </w:p>
          <w:p w14:paraId="04437A8E" w14:textId="2305B40D" w:rsidR="006F40BC" w:rsidRPr="00BA10B3" w:rsidRDefault="006F40BC" w:rsidP="00BA10B3">
            <w:pPr>
              <w:tabs>
                <w:tab w:val="right" w:pos="10000"/>
              </w:tabs>
              <w:spacing w:after="0"/>
              <w:jc w:val="right"/>
              <w:rPr>
                <w:rFonts w:ascii="Arial" w:hAnsi="Arial" w:cs="Arial"/>
                <w:bCs/>
                <w:sz w:val="22"/>
                <w:szCs w:val="24"/>
              </w:rPr>
            </w:pPr>
            <w:r w:rsidRPr="00BA10B3">
              <w:rPr>
                <w:rFonts w:ascii="Arial" w:hAnsi="Arial" w:cs="Arial"/>
                <w:bCs/>
                <w:sz w:val="22"/>
                <w:szCs w:val="24"/>
              </w:rPr>
              <w:t>revision of R1-1912977</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77777777"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Pr>
          <w:rFonts w:ascii="Arial" w:hAnsi="Arial"/>
          <w:sz w:val="22"/>
        </w:rPr>
        <w:t>7.2.12.1</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7777777"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Pr>
          <w:rFonts w:ascii="Arial" w:hAnsi="Arial"/>
          <w:sz w:val="22"/>
        </w:rPr>
        <w:t>On</w:t>
      </w:r>
      <w:r w:rsidRPr="00002940">
        <w:rPr>
          <w:rFonts w:ascii="Arial" w:hAnsi="Arial"/>
          <w:sz w:val="22"/>
        </w:rPr>
        <w:t xml:space="preserve"> </w:t>
      </w:r>
      <w:r>
        <w:rPr>
          <w:rFonts w:ascii="Arial" w:hAnsi="Arial"/>
          <w:sz w:val="22"/>
        </w:rPr>
        <w:t>NR m</w:t>
      </w:r>
      <w:r w:rsidRPr="00002940">
        <w:rPr>
          <w:rFonts w:ascii="Arial" w:hAnsi="Arial"/>
          <w:sz w:val="22"/>
        </w:rPr>
        <w:t xml:space="preserve">obility </w:t>
      </w:r>
      <w:r>
        <w:rPr>
          <w:rFonts w:ascii="Arial" w:hAnsi="Arial"/>
          <w:sz w:val="22"/>
        </w:rPr>
        <w:t>e</w:t>
      </w:r>
      <w:r w:rsidRPr="00002940">
        <w:rPr>
          <w:rFonts w:ascii="Arial" w:hAnsi="Arial"/>
          <w:sz w:val="22"/>
        </w:rPr>
        <w:t>nhancements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5BD1B332" w14:textId="77777777" w:rsidR="00746535" w:rsidRDefault="00746535" w:rsidP="00746535">
      <w:pPr>
        <w:rPr>
          <w:lang w:eastAsia="zh-CN"/>
        </w:rPr>
      </w:pPr>
      <w:r w:rsidRPr="00DA4B52">
        <w:t xml:space="preserve">This </w:t>
      </w:r>
      <w:r>
        <w:t xml:space="preserve">contribution discusses our view on remaining physical layer aspects to support </w:t>
      </w:r>
      <w:r>
        <w:rPr>
          <w:lang w:eastAsia="zh-CN"/>
        </w:rPr>
        <w:t>dual active protocol stack (DAPS) based handover. More specifically, we will discuss the following aspects:</w:t>
      </w:r>
    </w:p>
    <w:p w14:paraId="16D45C9C" w14:textId="5F01D5C0" w:rsidR="00746535" w:rsidRDefault="00746535" w:rsidP="00746535">
      <w:pPr>
        <w:pStyle w:val="ListParagraph"/>
        <w:numPr>
          <w:ilvl w:val="0"/>
          <w:numId w:val="28"/>
        </w:numPr>
        <w:rPr>
          <w:lang w:eastAsia="zh-CN"/>
        </w:rPr>
      </w:pPr>
      <w:r>
        <w:rPr>
          <w:lang w:eastAsia="zh-CN"/>
        </w:rPr>
        <w:t>PDCCH monitoring includ</w:t>
      </w:r>
      <w:r w:rsidR="009E09EA">
        <w:rPr>
          <w:lang w:eastAsia="zh-CN"/>
        </w:rPr>
        <w:t>ing</w:t>
      </w:r>
      <w:r>
        <w:rPr>
          <w:lang w:eastAsia="zh-CN"/>
        </w:rPr>
        <w:t xml:space="preserve"> the limits on </w:t>
      </w:r>
      <w:r w:rsidR="00C67974">
        <w:rPr>
          <w:lang w:eastAsia="zh-CN"/>
        </w:rPr>
        <w:t xml:space="preserve">monitored </w:t>
      </w:r>
      <w:r>
        <w:rPr>
          <w:lang w:eastAsia="zh-CN"/>
        </w:rPr>
        <w:t>PDCCH candidates and non-overlapped CCEs as well as PDCCH overbookin</w:t>
      </w:r>
      <w:r w:rsidR="003E5117">
        <w:rPr>
          <w:lang w:eastAsia="zh-CN"/>
        </w:rPr>
        <w:t>g</w:t>
      </w:r>
    </w:p>
    <w:p w14:paraId="6BF17F2C" w14:textId="5B0D579F" w:rsidR="00746535" w:rsidRDefault="00746535" w:rsidP="00746535">
      <w:pPr>
        <w:pStyle w:val="ListParagraph"/>
        <w:numPr>
          <w:ilvl w:val="0"/>
          <w:numId w:val="28"/>
        </w:numPr>
        <w:rPr>
          <w:lang w:eastAsia="zh-CN"/>
        </w:rPr>
      </w:pPr>
      <w:r>
        <w:rPr>
          <w:lang w:eastAsia="zh-CN"/>
        </w:rPr>
        <w:t>BWP switching</w:t>
      </w:r>
    </w:p>
    <w:p w14:paraId="2AA8A529" w14:textId="28B784F5" w:rsidR="00746535" w:rsidRDefault="00746535" w:rsidP="00746535">
      <w:pPr>
        <w:pStyle w:val="ListParagraph"/>
        <w:numPr>
          <w:ilvl w:val="0"/>
          <w:numId w:val="28"/>
        </w:numPr>
        <w:rPr>
          <w:lang w:eastAsia="zh-CN"/>
        </w:rPr>
      </w:pPr>
      <w:r>
        <w:rPr>
          <w:lang w:eastAsia="zh-CN"/>
        </w:rPr>
        <w:t xml:space="preserve">BWP configuration to enable </w:t>
      </w:r>
      <w:r w:rsidR="00DF6E70">
        <w:rPr>
          <w:lang w:eastAsia="zh-CN"/>
        </w:rPr>
        <w:t>simultaneous connectivity</w:t>
      </w:r>
    </w:p>
    <w:p w14:paraId="2374867E" w14:textId="2B63E2E6" w:rsidR="00F007E2" w:rsidRDefault="00C67974" w:rsidP="00746535">
      <w:pPr>
        <w:pStyle w:val="ListParagraph"/>
        <w:numPr>
          <w:ilvl w:val="0"/>
          <w:numId w:val="28"/>
        </w:numPr>
        <w:rPr>
          <w:lang w:eastAsia="zh-CN"/>
        </w:rPr>
      </w:pPr>
      <w:r>
        <w:rPr>
          <w:lang w:eastAsia="zh-CN"/>
        </w:rPr>
        <w:t>Multi-</w:t>
      </w:r>
      <w:r w:rsidR="00F007E2">
        <w:rPr>
          <w:lang w:eastAsia="zh-CN"/>
        </w:rPr>
        <w:t>TRP operation</w:t>
      </w:r>
    </w:p>
    <w:p w14:paraId="22D4D835" w14:textId="77777777" w:rsidR="00746535" w:rsidRDefault="00746535" w:rsidP="00746535">
      <w:pPr>
        <w:pStyle w:val="Heading1"/>
        <w:rPr>
          <w:lang w:val="en-US"/>
        </w:rPr>
      </w:pPr>
      <w:r>
        <w:t xml:space="preserve">PDCCH Monitoring </w:t>
      </w:r>
    </w:p>
    <w:p w14:paraId="5A773993" w14:textId="77777777" w:rsidR="00746535" w:rsidRDefault="00746535" w:rsidP="00746535">
      <w:pPr>
        <w:pStyle w:val="Heading2"/>
      </w:pPr>
      <w:r>
        <w:t>PDCCH Blind Decode and CCE Limit</w:t>
      </w:r>
    </w:p>
    <w:p w14:paraId="2AE8B1D1" w14:textId="77777777" w:rsidR="00746535" w:rsidRDefault="00746535" w:rsidP="00746535">
      <w:r>
        <w:t>RAN1#98b made the following agreement on PDCCH monitoring when UE monitors the PDCCH from the source and target cells during DAPS HO:</w:t>
      </w:r>
    </w:p>
    <w:tbl>
      <w:tblPr>
        <w:tblStyle w:val="TableGrid"/>
        <w:tblW w:w="0" w:type="auto"/>
        <w:tblLook w:val="04A0" w:firstRow="1" w:lastRow="0" w:firstColumn="1" w:lastColumn="0" w:noHBand="0" w:noVBand="1"/>
      </w:tblPr>
      <w:tblGrid>
        <w:gridCol w:w="9350"/>
      </w:tblGrid>
      <w:tr w:rsidR="00746535" w14:paraId="5CE5E56D" w14:textId="77777777" w:rsidTr="006C204E">
        <w:tc>
          <w:tcPr>
            <w:tcW w:w="9350" w:type="dxa"/>
          </w:tcPr>
          <w:p w14:paraId="3BFA6A9B" w14:textId="77777777" w:rsidR="00746535" w:rsidRDefault="00746535" w:rsidP="006C204E">
            <w:pPr>
              <w:rPr>
                <w:lang w:eastAsia="x-none"/>
              </w:rPr>
            </w:pPr>
            <w:r w:rsidRPr="00BF2847">
              <w:rPr>
                <w:highlight w:val="green"/>
                <w:lang w:eastAsia="x-none"/>
              </w:rPr>
              <w:t>Agreement:</w:t>
            </w:r>
          </w:p>
          <w:p w14:paraId="10D88152" w14:textId="77777777" w:rsidR="00746535" w:rsidRDefault="00746535" w:rsidP="006C204E">
            <w:pPr>
              <w:rPr>
                <w:lang w:eastAsia="zh-CN"/>
              </w:rPr>
            </w:pPr>
            <w:r w:rsidRPr="00ED10FC">
              <w:rPr>
                <w:lang w:eastAsia="zh-CN"/>
              </w:rPr>
              <w:t>PDCCH monitoring (including CORESET</w:t>
            </w:r>
            <w:r>
              <w:rPr>
                <w:lang w:eastAsia="zh-CN"/>
              </w:rPr>
              <w:t>s</w:t>
            </w:r>
            <w:r w:rsidRPr="00ED10FC">
              <w:rPr>
                <w:lang w:eastAsia="zh-CN"/>
              </w:rPr>
              <w:t xml:space="preserve">, </w:t>
            </w:r>
            <w:r>
              <w:rPr>
                <w:lang w:eastAsia="zh-CN"/>
              </w:rPr>
              <w:t>search spaces</w:t>
            </w:r>
            <w:r w:rsidRPr="00ED10FC">
              <w:rPr>
                <w:lang w:eastAsia="zh-CN"/>
              </w:rPr>
              <w:t xml:space="preserve">, DCI formats) </w:t>
            </w:r>
            <w:r>
              <w:rPr>
                <w:lang w:eastAsia="zh-CN"/>
              </w:rPr>
              <w:t xml:space="preserve">is </w:t>
            </w:r>
            <w:r w:rsidRPr="00ED10FC">
              <w:rPr>
                <w:lang w:eastAsia="zh-CN"/>
              </w:rPr>
              <w:t xml:space="preserve">configured </w:t>
            </w:r>
            <w:r>
              <w:rPr>
                <w:lang w:eastAsia="zh-CN"/>
              </w:rPr>
              <w:t>independently</w:t>
            </w:r>
            <w:r w:rsidRPr="00ED10FC">
              <w:rPr>
                <w:lang w:eastAsia="zh-CN"/>
              </w:rPr>
              <w:t xml:space="preserve"> for each source and target cell</w:t>
            </w:r>
            <w:r>
              <w:rPr>
                <w:lang w:eastAsia="zh-CN"/>
              </w:rPr>
              <w:t xml:space="preserve">. </w:t>
            </w:r>
          </w:p>
        </w:tc>
      </w:tr>
    </w:tbl>
    <w:p w14:paraId="38530065" w14:textId="77777777" w:rsidR="00D061C5" w:rsidRDefault="00D061C5" w:rsidP="00746535">
      <w:pPr>
        <w:rPr>
          <w:lang w:eastAsia="zh-CN"/>
        </w:rPr>
      </w:pPr>
    </w:p>
    <w:p w14:paraId="5428C1F9" w14:textId="56E27703" w:rsidR="00746535" w:rsidRDefault="00746535" w:rsidP="00746535">
      <w:pPr>
        <w:rPr>
          <w:lang w:eastAsia="zh-CN"/>
        </w:rPr>
      </w:pPr>
      <w:r>
        <w:rPr>
          <w:lang w:eastAsia="zh-CN"/>
        </w:rPr>
        <w:t>One of the important aspects on PDCCH monitoring is</w:t>
      </w:r>
      <w:r w:rsidR="00D061C5">
        <w:rPr>
          <w:lang w:eastAsia="zh-CN"/>
        </w:rPr>
        <w:t xml:space="preserve"> </w:t>
      </w:r>
      <w:r w:rsidR="00A4372A">
        <w:rPr>
          <w:lang w:eastAsia="zh-CN"/>
        </w:rPr>
        <w:t>determin</w:t>
      </w:r>
      <w:r w:rsidR="00CD6108">
        <w:rPr>
          <w:lang w:eastAsia="zh-CN"/>
        </w:rPr>
        <w:t>ation of</w:t>
      </w:r>
      <w:r>
        <w:rPr>
          <w:lang w:eastAsia="zh-CN"/>
        </w:rPr>
        <w:t xml:space="preserve"> the limit</w:t>
      </w:r>
      <w:r w:rsidR="00CD6108">
        <w:rPr>
          <w:lang w:eastAsia="zh-CN"/>
        </w:rPr>
        <w:t>s</w:t>
      </w:r>
      <w:r>
        <w:rPr>
          <w:lang w:eastAsia="zh-CN"/>
        </w:rPr>
        <w:t xml:space="preserve"> </w:t>
      </w:r>
      <w:r w:rsidR="00A4372A">
        <w:rPr>
          <w:lang w:eastAsia="zh-CN"/>
        </w:rPr>
        <w:t>o</w:t>
      </w:r>
      <w:r w:rsidR="00CD6108">
        <w:rPr>
          <w:lang w:eastAsia="zh-CN"/>
        </w:rPr>
        <w:t>n</w:t>
      </w:r>
      <w:r>
        <w:rPr>
          <w:lang w:eastAsia="zh-CN"/>
        </w:rPr>
        <w:t xml:space="preserve"> </w:t>
      </w:r>
      <w:r w:rsidR="00DC5414">
        <w:rPr>
          <w:lang w:eastAsia="zh-CN"/>
        </w:rPr>
        <w:t xml:space="preserve">monitored </w:t>
      </w:r>
      <w:r w:rsidR="00A4372A">
        <w:rPr>
          <w:lang w:eastAsia="zh-CN"/>
        </w:rPr>
        <w:t xml:space="preserve">PDCCH </w:t>
      </w:r>
      <w:r w:rsidR="00DC5414">
        <w:rPr>
          <w:lang w:eastAsia="zh-CN"/>
        </w:rPr>
        <w:t>candidates (</w:t>
      </w:r>
      <w:r>
        <w:rPr>
          <w:lang w:eastAsia="zh-CN"/>
        </w:rPr>
        <w:t>blind decode</w:t>
      </w:r>
      <w:r w:rsidR="00DC5414">
        <w:rPr>
          <w:lang w:eastAsia="zh-CN"/>
        </w:rPr>
        <w:t>)</w:t>
      </w:r>
      <w:r>
        <w:rPr>
          <w:lang w:eastAsia="zh-CN"/>
        </w:rPr>
        <w:t xml:space="preserve"> and non-overlapped CCEs. In Rel-15, the limits are specified in Subclause 10.1 of TS 38.213 for a cell as follows: </w:t>
      </w:r>
    </w:p>
    <w:tbl>
      <w:tblPr>
        <w:tblStyle w:val="TableGrid"/>
        <w:tblW w:w="0" w:type="auto"/>
        <w:tblLook w:val="04A0" w:firstRow="1" w:lastRow="0" w:firstColumn="1" w:lastColumn="0" w:noHBand="0" w:noVBand="1"/>
      </w:tblPr>
      <w:tblGrid>
        <w:gridCol w:w="9350"/>
      </w:tblGrid>
      <w:tr w:rsidR="00746535" w14:paraId="3E9D104E" w14:textId="77777777" w:rsidTr="006C204E">
        <w:tc>
          <w:tcPr>
            <w:tcW w:w="9350" w:type="dxa"/>
          </w:tcPr>
          <w:p w14:paraId="3AA64D4A" w14:textId="77777777" w:rsidR="00746535" w:rsidRPr="00A33143" w:rsidRDefault="00746535" w:rsidP="006C204E">
            <w:pPr>
              <w:rPr>
                <w:strike/>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 xml:space="preserve">cells </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with DL BWPs having </w:t>
            </w:r>
            <w:r>
              <w:t>SCS</w:t>
            </w:r>
            <w:r w:rsidRPr="00D20E88">
              <w:t xml:space="preserve"> configuration </w:t>
            </w:r>
            <m:oMath>
              <m:r>
                <w:rPr>
                  <w:rFonts w:ascii="Cambria Math"/>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t xml:space="preserve">, </w:t>
            </w: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 of the scheduling cell</w:t>
            </w:r>
            <w:r>
              <w:rPr>
                <w:lang w:eastAsia="ko-KR"/>
              </w:rPr>
              <w:t>,</w:t>
            </w:r>
            <w:r w:rsidRPr="00A33143">
              <w:rPr>
                <w:lang w:eastAsia="ko-KR"/>
              </w:rPr>
              <w:t xml:space="preserve"> more than</w:t>
            </w:r>
            <w:r>
              <w:rPr>
                <w:lang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slot</w:t>
            </w:r>
            <w:r>
              <w:t xml:space="preserve"> for each scheduled cell</w:t>
            </w:r>
            <w:r w:rsidRPr="00A33143">
              <w:t>.</w:t>
            </w:r>
          </w:p>
          <w:p w14:paraId="18EFF5F0" w14:textId="77777777" w:rsidR="00746535" w:rsidRDefault="00746535" w:rsidP="006C204E">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with DL BWPs having </w:t>
            </w:r>
            <w:r>
              <w:t>SCS</w:t>
            </w:r>
            <w:r w:rsidRPr="00D20E88">
              <w:t xml:space="preserve"> configuration </w:t>
            </w:r>
            <m:oMath>
              <m:r>
                <w:rPr>
                  <w:rFonts w:ascii="Cambria Math" w:hAnsi="Cambria Math"/>
                </w:rPr>
                <m:t>μ</m:t>
              </m:r>
            </m:oMath>
            <w:r>
              <w:t>,</w:t>
            </w:r>
            <w:r w:rsidRPr="00D20E88">
              <w:t xml:space="preserve"> where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DL,</m:t>
                      </m:r>
                      <m:r>
                        <w:rPr>
                          <w:rFonts w:ascii="Cambria Math" w:hAnsi="Cambria Math"/>
                        </w:rPr>
                        <m:t>μ</m:t>
                      </m:r>
                      <m:ctrlPr>
                        <w:rPr>
                          <w:rFonts w:ascii="Cambria Math" w:hAnsi="Cambria Math"/>
                        </w:rPr>
                      </m:ctrlPr>
                    </m:sup>
                  </m:sSubSup>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cap</m:t>
                  </m:r>
                  <m:ctrlPr>
                    <w:rPr>
                      <w:rFonts w:ascii="Cambria Math" w:hAnsi="Cambria Math"/>
                    </w:rPr>
                  </m:ctrlPr>
                </m:sup>
              </m:sSubSup>
            </m:oMath>
            <w:r>
              <w:t>, 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cap</m:t>
                      </m:r>
                      <m:ctrlPr>
                        <w:rPr>
                          <w:rFonts w:ascii="Cambria Math" w:hAnsi="Cambria Math" w:cs="Calibri"/>
                          <w:sz w:val="22"/>
                          <w:szCs w:val="22"/>
                        </w:rPr>
                      </m:ctrlP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f>
                    <m:fPr>
                      <m:type m:val="lin"/>
                      <m:ctrlPr>
                        <w:rPr>
                          <w:rFonts w:ascii="Cambria Math" w:hAnsi="Cambria Math" w:cs="Calibri"/>
                          <w:i/>
                          <w:sz w:val="22"/>
                          <w:szCs w:val="22"/>
                        </w:rPr>
                      </m:ctrlPr>
                    </m:fPr>
                    <m:num>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μ</m:t>
                          </m:r>
                          <m:ctrlPr>
                            <w:rPr>
                              <w:rFonts w:ascii="Cambria Math" w:hAnsi="Cambria Math" w:cs="Calibri"/>
                              <w:sz w:val="22"/>
                              <w:szCs w:val="22"/>
                            </w:rPr>
                          </m:ctrlPr>
                        </m:sup>
                      </m:sSubSup>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j</m:t>
                              </m:r>
                              <m:ctrlPr>
                                <w:rPr>
                                  <w:rFonts w:ascii="Cambria Math" w:hAnsi="Cambria Math" w:cs="Calibri"/>
                                  <w:sz w:val="22"/>
                                  <w:szCs w:val="22"/>
                                </w:rPr>
                              </m:ctrlPr>
                            </m:sup>
                          </m:sSubSup>
                        </m:e>
                      </m:nary>
                    </m:den>
                  </m:f>
                </m:e>
              </m:d>
            </m:oMath>
            <w:r w:rsidRPr="00D20E88">
              <w:t xml:space="preserve"> PDCCH candidates </w:t>
            </w:r>
            <w: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cap</m:t>
                      </m:r>
                      <m:ctrlPr>
                        <w:rPr>
                          <w:rFonts w:ascii="Cambria Math" w:hAnsi="Cambria Math" w:cs="Calibri"/>
                          <w:sz w:val="22"/>
                          <w:szCs w:val="22"/>
                        </w:rPr>
                      </m:ctrlP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ascii="Cambria Math" w:hAnsi="Cambria Math" w:cs="Calibri"/>
                          <w:sz w:val="22"/>
                          <w:szCs w:val="22"/>
                        </w:rPr>
                        <m:t>PDCCH</m:t>
                      </m:r>
                      <m:ctrlPr>
                        <w:rPr>
                          <w:rFonts w:ascii="Cambria Math" w:hAnsi="Cambria Math" w:cs="Calibri"/>
                          <w:sz w:val="22"/>
                          <w:szCs w:val="22"/>
                        </w:rPr>
                      </m:ctrlPr>
                    </m:sub>
                    <m:sup>
                      <m:r>
                        <m:rPr>
                          <m:nor/>
                        </m:rPr>
                        <w:rPr>
                          <w:rFonts w:ascii="Cambria Math" w:hAnsi="Cambria Math"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f>
                    <m:fPr>
                      <m:type m:val="lin"/>
                      <m:ctrlPr>
                        <w:rPr>
                          <w:rFonts w:ascii="Cambria Math" w:hAnsi="Cambria Math" w:cs="Calibri"/>
                          <w:i/>
                          <w:sz w:val="22"/>
                          <w:szCs w:val="22"/>
                        </w:rPr>
                      </m:ctrlPr>
                    </m:fPr>
                    <m:num>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μ</m:t>
                          </m:r>
                          <m:ctrlPr>
                            <w:rPr>
                              <w:rFonts w:ascii="Cambria Math" w:hAnsi="Cambria Math" w:cs="Calibri"/>
                              <w:sz w:val="22"/>
                              <w:szCs w:val="22"/>
                            </w:rPr>
                          </m:ctrlPr>
                        </m:sup>
                      </m:sSubSup>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ascii="Cambria Math" w:hAnsi="Cambria Math" w:cs="Calibri"/>
                                  <w:sz w:val="22"/>
                                  <w:szCs w:val="22"/>
                                </w:rPr>
                                <m:t>cells</m:t>
                              </m:r>
                              <m:ctrlPr>
                                <w:rPr>
                                  <w:rFonts w:ascii="Cambria Math" w:hAnsi="Cambria Math" w:cs="Calibri"/>
                                  <w:sz w:val="22"/>
                                  <w:szCs w:val="22"/>
                                </w:rPr>
                              </m:ctrlPr>
                            </m:sub>
                            <m:sup>
                              <m:r>
                                <m:rPr>
                                  <m:nor/>
                                </m:rPr>
                                <w:rPr>
                                  <w:rFonts w:ascii="Cambria Math" w:hAnsi="Cambria Math" w:cs="Calibri"/>
                                  <w:sz w:val="22"/>
                                  <w:szCs w:val="22"/>
                                </w:rPr>
                                <m:t>DL,</m:t>
                              </m:r>
                              <m:r>
                                <w:rPr>
                                  <w:rFonts w:ascii="Cambria Math" w:hAnsi="Cambria Math" w:cs="Calibri"/>
                                  <w:sz w:val="22"/>
                                  <w:szCs w:val="22"/>
                                </w:rPr>
                                <m:t>j</m:t>
                              </m:r>
                              <m:ctrlPr>
                                <w:rPr>
                                  <w:rFonts w:ascii="Cambria Math" w:hAnsi="Cambria Math" w:cs="Calibri"/>
                                  <w:sz w:val="22"/>
                                  <w:szCs w:val="22"/>
                                </w:rPr>
                              </m:ctrlPr>
                            </m:sup>
                          </m:sSubSup>
                        </m:e>
                      </m:nary>
                    </m:den>
                  </m:f>
                </m:e>
              </m:d>
            </m:oMath>
            <w:r w:rsidRPr="00D20E88">
              <w:t xml:space="preserve"> non-overlapped CCEs per slot on the active DL BWP</w:t>
            </w:r>
            <w:r>
              <w:t>(s)</w:t>
            </w:r>
            <w:r w:rsidRPr="00D20E88">
              <w:t xml:space="preserve"> of scheduling cell</w:t>
            </w:r>
            <w: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t xml:space="preserve"> </w:t>
            </w:r>
          </w:p>
          <w:p w14:paraId="48BABACC" w14:textId="77777777" w:rsidR="00746535" w:rsidRDefault="00746535" w:rsidP="006C204E">
            <w:pPr>
              <w:rPr>
                <w:lang w:eastAsia="zh-CN"/>
              </w:rPr>
            </w:pPr>
            <w:r>
              <w:t>For each scheduled cell,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t xml:space="preserve">of the scheduling cell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D20E88">
              <w:t xml:space="preserve"> PDCCH candidates </w:t>
            </w:r>
            <w:r>
              <w:t xml:space="preserve">or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D20E88">
              <w:t xml:space="preserve"> non-overlapped CCEs per slot</w:t>
            </w:r>
            <w:r>
              <w:t>.</w:t>
            </w:r>
          </w:p>
        </w:tc>
      </w:tr>
    </w:tbl>
    <w:p w14:paraId="2A876544" w14:textId="77777777" w:rsidR="00746535" w:rsidRDefault="00746535" w:rsidP="00746535">
      <w:pPr>
        <w:rPr>
          <w:lang w:eastAsia="zh-CN"/>
        </w:rPr>
      </w:pPr>
    </w:p>
    <w:p w14:paraId="2744AEE2" w14:textId="77777777" w:rsidR="00746535" w:rsidRDefault="00746535" w:rsidP="00746535">
      <w:pPr>
        <w:overflowPunct/>
        <w:autoSpaceDE/>
        <w:autoSpaceDN/>
        <w:adjustRightInd/>
        <w:spacing w:after="0"/>
        <w:textAlignment w:val="auto"/>
        <w:rPr>
          <w:rFonts w:eastAsia="Times New Roman"/>
        </w:rPr>
      </w:pPr>
      <w:r>
        <w:rPr>
          <w:lang w:eastAsia="zh-CN"/>
        </w:rPr>
        <w:lastRenderedPageBreak/>
        <w:t xml:space="preserve">For Rel-16, when mTRP is supported at a cell, it was agreed that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m:t>
            </m:r>
          </m:sub>
          <m:sup>
            <m:r>
              <m:rPr>
                <m:nor/>
              </m:rPr>
              <w:rPr>
                <w:rFonts w:eastAsia="Times New Roman"/>
              </w:rPr>
              <m:t>DL,</m:t>
            </m:r>
            <m:r>
              <w:rPr>
                <w:rFonts w:ascii="Cambria Math" w:eastAsia="Times New Roman" w:hAnsi="Cambria Math"/>
              </w:rPr>
              <m:t>μ</m:t>
            </m:r>
          </m:sup>
        </m:sSubSup>
      </m:oMath>
      <w:r>
        <w:rPr>
          <w:rFonts w:eastAsia="Times New Roman"/>
        </w:rPr>
        <w:t xml:space="preserve"> is replaced with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m:t>
        </m:r>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Pr>
          <w:rFonts w:eastAsia="Times New Roman"/>
        </w:rPr>
        <w:t xml:space="preserve">, where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oMath>
      <w:r>
        <w:rPr>
          <w:rFonts w:eastAsia="Times New Roman"/>
        </w:rPr>
        <w:t xml:space="preserve"> is the number of configured DL serving cell(s) without multi-DCI based multi-TRP with active DL BWP with SCS μ, and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Pr>
          <w:rFonts w:eastAsia="Times New Roman"/>
        </w:rPr>
        <w:t xml:space="preserve"> is the number of configured DL serving cell(s) with multi-DCI based multi-TRP with active DL BWP with SCS μ. Furthermore, the value range of r is [1, 2], and it depends on UE capability.</w:t>
      </w:r>
    </w:p>
    <w:p w14:paraId="10F5CB07" w14:textId="77777777" w:rsidR="00746535" w:rsidRDefault="00746535" w:rsidP="00746535">
      <w:pPr>
        <w:rPr>
          <w:lang w:eastAsia="zh-CN"/>
        </w:rPr>
      </w:pPr>
    </w:p>
    <w:tbl>
      <w:tblPr>
        <w:tblStyle w:val="TableGrid"/>
        <w:tblW w:w="0" w:type="auto"/>
        <w:tblLook w:val="04A0" w:firstRow="1" w:lastRow="0" w:firstColumn="1" w:lastColumn="0" w:noHBand="0" w:noVBand="1"/>
      </w:tblPr>
      <w:tblGrid>
        <w:gridCol w:w="9350"/>
      </w:tblGrid>
      <w:tr w:rsidR="00746535" w14:paraId="0FB3E8D1" w14:textId="77777777" w:rsidTr="006C204E">
        <w:tc>
          <w:tcPr>
            <w:tcW w:w="9350" w:type="dxa"/>
          </w:tcPr>
          <w:p w14:paraId="407A847D" w14:textId="77777777" w:rsidR="00746535" w:rsidRDefault="00746535" w:rsidP="006C204E">
            <w:pPr>
              <w:rPr>
                <w:rFonts w:eastAsiaTheme="minorHAnsi"/>
              </w:rPr>
            </w:pPr>
            <w:r>
              <w:rPr>
                <w:b/>
                <w:bCs/>
                <w:highlight w:val="green"/>
              </w:rPr>
              <w:t>Agreement</w:t>
            </w:r>
          </w:p>
          <w:p w14:paraId="37398B0C" w14:textId="77777777" w:rsidR="00746535" w:rsidRDefault="00746535" w:rsidP="006C204E">
            <w:pPr>
              <w:numPr>
                <w:ilvl w:val="0"/>
                <w:numId w:val="29"/>
              </w:numPr>
              <w:overflowPunct/>
              <w:autoSpaceDE/>
              <w:autoSpaceDN/>
              <w:adjustRightInd/>
              <w:spacing w:after="0"/>
              <w:textAlignment w:val="auto"/>
              <w:rPr>
                <w:rFonts w:eastAsia="Times New Roman"/>
              </w:rPr>
            </w:pPr>
            <w:r>
              <w:rPr>
                <w:rFonts w:eastAsia="Times New Roman"/>
              </w:rPr>
              <w:t xml:space="preserve">If higher layer index is configured per CORESET for the UE supporting multi-DCI based multi-TRP transmission, support the following principles for the maximum numbers of BD/CCE for multi-DCI based multi-TRP transmission: </w:t>
            </w:r>
          </w:p>
          <w:p w14:paraId="35982AD2"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29AF7D80"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Total limits for BD/CCE numbers across configured CCs are calculated the same as that in Rel. 15 based on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m:t>
                  </m:r>
                </m:sub>
                <m:sup>
                  <m:r>
                    <m:rPr>
                      <m:nor/>
                    </m:rPr>
                    <w:rPr>
                      <w:rFonts w:eastAsia="Times New Roman"/>
                    </w:rPr>
                    <m:t>cap</m:t>
                  </m:r>
                </m:sup>
              </m:sSubSup>
            </m:oMath>
            <w:r>
              <w:rPr>
                <w:rFonts w:eastAsia="Times New Roman"/>
              </w:rPr>
              <w:t xml:space="preserve"> as described in subclause 10 in TS38.213;</w:t>
            </w:r>
          </w:p>
          <w:p w14:paraId="4C6E6EB7"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(Bound derived from pdcch-BlindDetectionCA) When determining the maximum numbers of monitored PDCCH candidates and non-overlapped CCEs per slot for total limits,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M</m:t>
                  </m:r>
                </m:e>
                <m:sub>
                  <m:r>
                    <m:rPr>
                      <m:sty m:val="p"/>
                    </m:rPr>
                    <w:rPr>
                      <w:rFonts w:ascii="Cambria Math" w:eastAsia="Times New Roman" w:hAnsi="Cambria Math"/>
                    </w:rPr>
                    <m:t>PDCCH</m:t>
                  </m:r>
                </m:sub>
                <m:sup>
                  <m:r>
                    <m:rPr>
                      <m:sty m:val="p"/>
                    </m:rPr>
                    <w:rPr>
                      <w:rFonts w:ascii="Cambria Math" w:eastAsia="Times New Roman" w:hAnsi="Cambria Math"/>
                    </w:rPr>
                    <m:t>total,slot,μ</m:t>
                  </m:r>
                </m:sup>
              </m:sSubSup>
            </m:oMath>
            <w:r>
              <w:rPr>
                <w:rFonts w:eastAsia="Times New Roman"/>
              </w:rPr>
              <w:t xml:space="preserve">,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C</m:t>
                  </m:r>
                </m:e>
                <m:sub>
                  <m:r>
                    <m:rPr>
                      <m:sty m:val="p"/>
                    </m:rPr>
                    <w:rPr>
                      <w:rFonts w:ascii="Cambria Math" w:eastAsia="Times New Roman" w:hAnsi="Cambria Math"/>
                    </w:rPr>
                    <m:t>PDCCH</m:t>
                  </m:r>
                </m:sub>
                <m:sup>
                  <m:r>
                    <m:rPr>
                      <m:sty m:val="p"/>
                    </m:rPr>
                    <w:rPr>
                      <w:rFonts w:ascii="Cambria Math" w:eastAsia="Times New Roman" w:hAnsi="Cambria Math"/>
                    </w:rPr>
                    <m:t>total,slot,μ</m:t>
                  </m:r>
                </m:sup>
              </m:sSubSup>
            </m:oMath>
            <w:r>
              <w:rPr>
                <w:rFonts w:eastAsia="Times New Roman"/>
              </w:rPr>
              <w:t xml:space="preserve"> defined in 38.213, the number of DL serving cell(s) configured with multi-DCI based multi-TRP transmission is increased as r times. </w:t>
            </w:r>
          </w:p>
          <w:p w14:paraId="439A4CCE"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(Bound independent of pdcch-BlindDetectionCA) The maximum BD/CCE numbers,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M</m:t>
                  </m:r>
                </m:e>
                <m:sub>
                  <m:r>
                    <m:rPr>
                      <m:sty m:val="p"/>
                    </m:rPr>
                    <w:rPr>
                      <w:rFonts w:ascii="Cambria Math" w:eastAsia="Times New Roman" w:hAnsi="Cambria Math"/>
                    </w:rPr>
                    <m:t>PDCCH</m:t>
                  </m:r>
                </m:sub>
                <m:sup>
                  <m:r>
                    <m:rPr>
                      <m:sty m:val="p"/>
                    </m:rPr>
                    <w:rPr>
                      <w:rFonts w:ascii="Cambria Math" w:eastAsia="Times New Roman" w:hAnsi="Cambria Math"/>
                    </w:rPr>
                    <m:t>Max,slot,μ</m:t>
                  </m:r>
                </m:sup>
              </m:sSubSup>
            </m:oMath>
            <w:r>
              <w:rPr>
                <w:rFonts w:eastAsia="Times New Roman"/>
              </w:rPr>
              <w:t xml:space="preserve"> and </w:t>
            </w:r>
            <m:oMath>
              <m:sSubSup>
                <m:sSubSupPr>
                  <m:ctrlPr>
                    <w:rPr>
                      <w:rFonts w:ascii="Cambria Math" w:eastAsiaTheme="minorHAnsi" w:hAnsi="Cambria Math" w:cs="Calibri"/>
                      <w:i/>
                      <w:iCs/>
                      <w:sz w:val="22"/>
                      <w:szCs w:val="22"/>
                    </w:rPr>
                  </m:ctrlPr>
                </m:sSubSupPr>
                <m:e>
                  <m:r>
                    <m:rPr>
                      <m:sty m:val="p"/>
                    </m:rPr>
                    <w:rPr>
                      <w:rFonts w:ascii="Cambria Math" w:eastAsia="Times New Roman" w:hAnsi="Cambria Math"/>
                    </w:rPr>
                    <m:t>C</m:t>
                  </m:r>
                </m:e>
                <m:sub>
                  <m:r>
                    <m:rPr>
                      <m:sty m:val="p"/>
                    </m:rPr>
                    <w:rPr>
                      <w:rFonts w:ascii="Cambria Math" w:eastAsia="Times New Roman" w:hAnsi="Cambria Math"/>
                    </w:rPr>
                    <m:t>PDCCH</m:t>
                  </m:r>
                </m:sub>
                <m:sup>
                  <m:r>
                    <m:rPr>
                      <m:sty m:val="p"/>
                    </m:rPr>
                    <w:rPr>
                      <w:rFonts w:ascii="Cambria Math" w:eastAsia="Times New Roman" w:hAnsi="Cambria Math"/>
                    </w:rPr>
                    <m:t>Max,slot,μ</m:t>
                  </m:r>
                </m:sup>
              </m:sSubSup>
            </m:oMath>
            <w:r>
              <w:rPr>
                <w:rFonts w:eastAsia="Times New Roman"/>
              </w:rPr>
              <w:t>, are increased as r times the Rel-15 values defined in Table 10.1-2 and Table 10.1-3 in 38.213 for a serving cell configured with multi-DCI based multi-TRP</w:t>
            </w:r>
          </w:p>
          <w:p w14:paraId="11814B03"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FFS, bounds derived from or independent of pdcch-BlindDetectionMCG, or pdcch-BlindDetectionSCG</w:t>
            </w:r>
          </w:p>
          <w:p w14:paraId="28277334" w14:textId="77777777" w:rsidR="00746535" w:rsidRDefault="00746535" w:rsidP="006C204E">
            <w:pPr>
              <w:numPr>
                <w:ilvl w:val="0"/>
                <w:numId w:val="29"/>
              </w:numPr>
              <w:overflowPunct/>
              <w:autoSpaceDE/>
              <w:autoSpaceDN/>
              <w:adjustRightInd/>
              <w:spacing w:after="0"/>
              <w:textAlignment w:val="auto"/>
              <w:rPr>
                <w:rFonts w:eastAsia="Times New Roman"/>
              </w:rPr>
            </w:pPr>
            <w:r>
              <w:rPr>
                <w:rFonts w:eastAsia="Times New Roman"/>
              </w:rPr>
              <w:t xml:space="preserve">If higher layer index is configured per CORESET for the UE supporting multi-DCI based multi-TRP transmission, support the followings for the principles above: </w:t>
            </w:r>
          </w:p>
          <w:p w14:paraId="0C7B65D0" w14:textId="77777777" w:rsidR="00746535" w:rsidRDefault="00DA016E" w:rsidP="006C204E">
            <w:pPr>
              <w:numPr>
                <w:ilvl w:val="1"/>
                <w:numId w:val="29"/>
              </w:numPr>
              <w:overflowPunct/>
              <w:autoSpaceDE/>
              <w:autoSpaceDN/>
              <w:adjustRightInd/>
              <w:spacing w:after="0"/>
              <w:textAlignment w:val="auto"/>
              <w:rPr>
                <w:rFonts w:eastAsia="Times New Roman"/>
              </w:rPr>
            </w:pP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is replaced with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m:t>
              </m:r>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where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cells,1</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is the number of configured DL serving cell(s) without multi-DCI based multi-TRP with active DL BWP with SCS μ, and </w:t>
            </w:r>
            <m:oMath>
              <m:sSubSup>
                <m:sSubSupPr>
                  <m:ctrlPr>
                    <w:rPr>
                      <w:rFonts w:ascii="Cambria Math" w:eastAsiaTheme="minorHAnsi" w:hAnsi="Cambria Math" w:cs="Calibri"/>
                      <w:i/>
                      <w:iCs/>
                      <w:sz w:val="22"/>
                      <w:szCs w:val="22"/>
                    </w:rPr>
                  </m:ctrlPr>
                </m:sSubSupPr>
                <m:e>
                  <m:r>
                    <w:rPr>
                      <w:rFonts w:ascii="Cambria Math" w:eastAsia="Times New Roman" w:hAnsi="Cambria Math"/>
                    </w:rPr>
                    <m:t>N</m:t>
                  </m:r>
                </m:e>
                <m:sub>
                  <m:r>
                    <m:rPr>
                      <m:nor/>
                    </m:rPr>
                    <w:rPr>
                      <w:rFonts w:eastAsia="Times New Roman"/>
                    </w:rPr>
                    <m:t>cells,2</m:t>
                  </m:r>
                </m:sub>
                <m:sup>
                  <m:r>
                    <m:rPr>
                      <m:nor/>
                    </m:rPr>
                    <w:rPr>
                      <w:rFonts w:eastAsia="Times New Roman"/>
                    </w:rPr>
                    <m:t>DL,</m:t>
                  </m:r>
                  <m:r>
                    <w:rPr>
                      <w:rFonts w:ascii="Cambria Math" w:eastAsia="Times New Roman" w:hAnsi="Cambria Math"/>
                    </w:rPr>
                    <m:t>μ</m:t>
                  </m:r>
                </m:sup>
              </m:sSubSup>
            </m:oMath>
            <w:r w:rsidR="00746535">
              <w:rPr>
                <w:rFonts w:eastAsia="Times New Roman"/>
              </w:rPr>
              <w:t xml:space="preserve"> is the number of configured DL serving cell(s) with multi-DCI based multi-TRP with active DL BWP with SCS μ </w:t>
            </w:r>
          </w:p>
          <w:p w14:paraId="74FDA0D2"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The value range of r is [1, 2], and it depends on UE capability.</w:t>
            </w:r>
          </w:p>
          <w:p w14:paraId="410F8456"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 xml:space="preserve">UE indicates pdcch-BlindDetectionCA when it is possible to configure A+B DL cells to the UE with A&gt;= 0 DL serving cells without multi-DCI based multi-TRP and B &gt;=0  DL serving cells with multi-DCI based multi-TRP such that A+r∙B&gt;4 </w:t>
            </w:r>
          </w:p>
          <w:p w14:paraId="0B54AE63"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When UE does not provide pdcch-BlindDetectionCA, the value of N^cap_cells is a+r.b, where a is the number of configured DL serving cells without multi-DCI based multi-TRP, and b is the number of configured DL serving cells with multi-DCI based multi-TRP.</w:t>
            </w:r>
          </w:p>
          <w:p w14:paraId="4AB2C8F5" w14:textId="77777777" w:rsidR="00746535" w:rsidRDefault="00746535" w:rsidP="006C204E">
            <w:pPr>
              <w:numPr>
                <w:ilvl w:val="1"/>
                <w:numId w:val="29"/>
              </w:numPr>
              <w:overflowPunct/>
              <w:autoSpaceDE/>
              <w:autoSpaceDN/>
              <w:adjustRightInd/>
              <w:spacing w:after="0"/>
              <w:textAlignment w:val="auto"/>
              <w:rPr>
                <w:rFonts w:eastAsia="Times New Roman"/>
              </w:rPr>
            </w:pPr>
            <w:r>
              <w:rPr>
                <w:rFonts w:eastAsia="Times New Roman"/>
              </w:rPr>
              <w:t>FFS: other conditions for UE capability reporting are applied to multi-DCI based multi-TRP transmission</w:t>
            </w:r>
          </w:p>
          <w:p w14:paraId="47D4334C" w14:textId="77777777" w:rsidR="00746535" w:rsidRDefault="00746535" w:rsidP="006C204E">
            <w:pPr>
              <w:numPr>
                <w:ilvl w:val="0"/>
                <w:numId w:val="29"/>
              </w:numPr>
              <w:overflowPunct/>
              <w:autoSpaceDE/>
              <w:autoSpaceDN/>
              <w:adjustRightInd/>
              <w:spacing w:after="0"/>
              <w:textAlignment w:val="auto"/>
              <w:rPr>
                <w:rFonts w:eastAsia="Times New Roman"/>
              </w:rPr>
            </w:pPr>
            <w:r>
              <w:rPr>
                <w:rFonts w:eastAsia="Times New Roman"/>
              </w:rPr>
              <w:t>FFS: details on how to determine a DL serving cell configured with multi-DCI based multi-TRP transmission and associated value of r.</w:t>
            </w:r>
          </w:p>
          <w:p w14:paraId="2A3A0A8F" w14:textId="2A822381" w:rsidR="00746535" w:rsidRPr="00CC3F5A" w:rsidRDefault="00746535" w:rsidP="00C67974">
            <w:pPr>
              <w:numPr>
                <w:ilvl w:val="0"/>
                <w:numId w:val="29"/>
              </w:numPr>
              <w:overflowPunct/>
              <w:autoSpaceDE/>
              <w:autoSpaceDN/>
              <w:adjustRightInd/>
              <w:spacing w:after="0"/>
              <w:textAlignment w:val="auto"/>
              <w:rPr>
                <w:rFonts w:eastAsiaTheme="minorHAnsi"/>
              </w:rPr>
            </w:pPr>
            <w:r>
              <w:rPr>
                <w:rFonts w:eastAsia="Times New Roman"/>
              </w:rPr>
              <w:t>FFS: Whether/how to enhance PDCCH mapping/dropping rule in a DL serving cell configured with multi-DCI based multi-TRP transmission in case of PDCCH overbooking.</w:t>
            </w:r>
          </w:p>
        </w:tc>
      </w:tr>
    </w:tbl>
    <w:p w14:paraId="03F75DBD" w14:textId="77777777" w:rsidR="00746535" w:rsidRDefault="00746535" w:rsidP="00746535">
      <w:pPr>
        <w:rPr>
          <w:lang w:eastAsia="zh-CN"/>
        </w:rPr>
      </w:pPr>
    </w:p>
    <w:p w14:paraId="43D3DDE6" w14:textId="289EF729" w:rsidR="00746535" w:rsidRDefault="00A009B2" w:rsidP="00746535">
      <w:pPr>
        <w:rPr>
          <w:lang w:eastAsia="zh-CN"/>
        </w:rPr>
      </w:pPr>
      <w:r>
        <w:rPr>
          <w:lang w:eastAsia="zh-CN"/>
        </w:rPr>
        <w:t>At</w:t>
      </w:r>
      <w:r w:rsidR="00746535">
        <w:rPr>
          <w:lang w:eastAsia="zh-CN"/>
        </w:rPr>
        <w:t xml:space="preserve"> the first look it seems that we can reuse the mTRP agreements for DAPS HO. However, there are a few differences between mTRP and DAPS HO that ask for different consideration on the BD/CCE limit:</w:t>
      </w:r>
    </w:p>
    <w:p w14:paraId="31F489E9" w14:textId="77777777" w:rsidR="00746535" w:rsidRDefault="00746535" w:rsidP="00746535">
      <w:pPr>
        <w:pStyle w:val="ListParagraph"/>
        <w:numPr>
          <w:ilvl w:val="0"/>
          <w:numId w:val="28"/>
        </w:numPr>
        <w:rPr>
          <w:lang w:eastAsia="zh-CN"/>
        </w:rPr>
      </w:pPr>
      <w:r>
        <w:rPr>
          <w:lang w:eastAsia="zh-CN"/>
        </w:rPr>
        <w:t>CORESET0: For mTRP, although TRPs can have different PCIs, they all share the same CORESET0. On the other hand, for DAPS HO, the source cell and target cell may have different CORESET0.</w:t>
      </w:r>
    </w:p>
    <w:p w14:paraId="0D5B82D1" w14:textId="06FD3678" w:rsidR="00746535" w:rsidRDefault="00746535" w:rsidP="00746535">
      <w:pPr>
        <w:pStyle w:val="ListParagraph"/>
        <w:numPr>
          <w:ilvl w:val="0"/>
          <w:numId w:val="28"/>
        </w:numPr>
        <w:rPr>
          <w:lang w:eastAsia="zh-CN"/>
        </w:rPr>
      </w:pPr>
      <w:r>
        <w:rPr>
          <w:lang w:eastAsia="zh-CN"/>
        </w:rPr>
        <w:t>mTRP support: mTRP may be enabled at the source and/or target cells in DAPS HO</w:t>
      </w:r>
      <w:r w:rsidR="00934D80">
        <w:rPr>
          <w:lang w:eastAsia="zh-CN"/>
        </w:rPr>
        <w:t xml:space="preserve"> (</w:t>
      </w:r>
      <w:r w:rsidR="003346F0">
        <w:rPr>
          <w:lang w:eastAsia="zh-CN"/>
        </w:rPr>
        <w:t xml:space="preserve">which we have brief discussion in Section </w:t>
      </w:r>
      <w:r w:rsidR="003346F0">
        <w:rPr>
          <w:lang w:eastAsia="zh-CN"/>
        </w:rPr>
        <w:fldChar w:fldCharType="begin"/>
      </w:r>
      <w:r w:rsidR="003346F0">
        <w:rPr>
          <w:lang w:eastAsia="zh-CN"/>
        </w:rPr>
        <w:instrText xml:space="preserve"> REF _Ref24105971 \r \h </w:instrText>
      </w:r>
      <w:r w:rsidR="003346F0">
        <w:rPr>
          <w:lang w:eastAsia="zh-CN"/>
        </w:rPr>
      </w:r>
      <w:r w:rsidR="003346F0">
        <w:rPr>
          <w:lang w:eastAsia="zh-CN"/>
        </w:rPr>
        <w:fldChar w:fldCharType="separate"/>
      </w:r>
      <w:r w:rsidR="003346F0">
        <w:rPr>
          <w:lang w:eastAsia="zh-CN"/>
        </w:rPr>
        <w:t>5</w:t>
      </w:r>
      <w:r w:rsidR="003346F0">
        <w:rPr>
          <w:lang w:eastAsia="zh-CN"/>
        </w:rPr>
        <w:fldChar w:fldCharType="end"/>
      </w:r>
      <w:r w:rsidR="00934D80">
        <w:rPr>
          <w:lang w:eastAsia="zh-CN"/>
        </w:rPr>
        <w:t>)</w:t>
      </w:r>
      <w:r>
        <w:rPr>
          <w:lang w:eastAsia="zh-CN"/>
        </w:rPr>
        <w:t>.</w:t>
      </w:r>
    </w:p>
    <w:p w14:paraId="103D3AF8" w14:textId="2FA61B7F" w:rsidR="00746535" w:rsidRDefault="00746535" w:rsidP="00746535">
      <w:pPr>
        <w:pStyle w:val="ListParagraph"/>
        <w:numPr>
          <w:ilvl w:val="0"/>
          <w:numId w:val="28"/>
        </w:numPr>
        <w:rPr>
          <w:lang w:eastAsia="zh-CN"/>
        </w:rPr>
      </w:pPr>
      <w:r>
        <w:rPr>
          <w:lang w:eastAsia="zh-CN"/>
        </w:rPr>
        <w:t>mTRP operates in the same frequency layer while DAPS HO has operation in either same frequency layer or different frequency layers.</w:t>
      </w:r>
    </w:p>
    <w:p w14:paraId="1279A883" w14:textId="6052701E" w:rsidR="00C67974" w:rsidRDefault="00C67974" w:rsidP="00746535">
      <w:pPr>
        <w:pStyle w:val="ListParagraph"/>
        <w:numPr>
          <w:ilvl w:val="0"/>
          <w:numId w:val="28"/>
        </w:numPr>
        <w:rPr>
          <w:lang w:eastAsia="zh-CN"/>
        </w:rPr>
      </w:pPr>
      <w:r>
        <w:rPr>
          <w:lang w:eastAsia="zh-CN"/>
        </w:rPr>
        <w:t>Active protocol stack: mTRP operation assumes a single active protocol stack while DAPS HO operation assumes dual active protocol stack.</w:t>
      </w:r>
    </w:p>
    <w:p w14:paraId="180BE8FB" w14:textId="4F1B6DFF" w:rsidR="00746535" w:rsidRDefault="00746535" w:rsidP="00746535">
      <w:pPr>
        <w:rPr>
          <w:lang w:eastAsia="zh-CN"/>
        </w:rPr>
      </w:pPr>
      <w:r>
        <w:rPr>
          <w:lang w:eastAsia="zh-CN"/>
        </w:rPr>
        <w:t xml:space="preserve">Hence, the determination of </w:t>
      </w:r>
      <w:r w:rsidR="006C204E">
        <w:rPr>
          <w:lang w:eastAsia="zh-CN"/>
        </w:rPr>
        <w:t>PDCCH blind decode (</w:t>
      </w:r>
      <w:r>
        <w:rPr>
          <w:lang w:eastAsia="zh-CN"/>
        </w:rPr>
        <w:t>BD</w:t>
      </w:r>
      <w:r w:rsidR="006C204E">
        <w:rPr>
          <w:lang w:eastAsia="zh-CN"/>
        </w:rPr>
        <w:t>)</w:t>
      </w:r>
      <w:r>
        <w:rPr>
          <w:lang w:eastAsia="zh-CN"/>
        </w:rPr>
        <w:t xml:space="preserve">/CCE limits </w:t>
      </w:r>
      <w:r w:rsidR="009E6142">
        <w:rPr>
          <w:lang w:eastAsia="zh-CN"/>
        </w:rPr>
        <w:t xml:space="preserve">should be independent </w:t>
      </w:r>
      <w:r>
        <w:rPr>
          <w:lang w:eastAsia="zh-CN"/>
        </w:rPr>
        <w:t>for source and target cells in a way such that the total limits across source and target cells are not beyond Rel-15 BD/CCE limit</w:t>
      </w:r>
      <w:r w:rsidR="006C204E">
        <w:rPr>
          <w:lang w:eastAsia="zh-CN"/>
        </w:rPr>
        <w:t>s</w:t>
      </w:r>
      <w:r>
        <w:rPr>
          <w:lang w:eastAsia="zh-CN"/>
        </w:rPr>
        <w:t xml:space="preserve">. </w:t>
      </w:r>
    </w:p>
    <w:p w14:paraId="1BF59118" w14:textId="7741918D" w:rsidR="00746535" w:rsidRDefault="00746535" w:rsidP="00746535">
      <w:pPr>
        <w:rPr>
          <w:b/>
          <w:bCs/>
          <w:lang w:eastAsia="zh-CN"/>
        </w:rPr>
      </w:pPr>
      <w:r w:rsidRPr="00667728">
        <w:rPr>
          <w:b/>
          <w:bCs/>
          <w:lang w:eastAsia="zh-CN"/>
        </w:rPr>
        <w:t xml:space="preserve">Proposal 1: When UE is configured to monitor PDCCH from source and target in a slot during DAPS HO, the UE </w:t>
      </w:r>
      <w:r>
        <w:rPr>
          <w:b/>
          <w:bCs/>
          <w:lang w:eastAsia="zh-CN"/>
        </w:rPr>
        <w:t xml:space="preserve">independently </w:t>
      </w:r>
      <w:r w:rsidRPr="00667728">
        <w:rPr>
          <w:b/>
          <w:bCs/>
          <w:lang w:eastAsia="zh-CN"/>
        </w:rPr>
        <w:t xml:space="preserve">determines the PDCCH monitoring </w:t>
      </w:r>
      <w:r>
        <w:rPr>
          <w:b/>
          <w:bCs/>
          <w:lang w:eastAsia="zh-CN"/>
        </w:rPr>
        <w:t>limits</w:t>
      </w:r>
      <w:r w:rsidRPr="00667728">
        <w:rPr>
          <w:b/>
          <w:bCs/>
          <w:lang w:eastAsia="zh-CN"/>
        </w:rPr>
        <w:t xml:space="preserve"> for source and target cells.</w:t>
      </w:r>
      <w:r w:rsidR="006C204E">
        <w:rPr>
          <w:b/>
          <w:bCs/>
          <w:lang w:eastAsia="zh-CN"/>
        </w:rPr>
        <w:t xml:space="preserve"> Furthermore, </w:t>
      </w:r>
      <w:r w:rsidR="006B0E0C">
        <w:rPr>
          <w:b/>
          <w:bCs/>
          <w:lang w:eastAsia="zh-CN"/>
        </w:rPr>
        <w:t>the total limits on BD/CCE across both source and target cells are the same as Rel-15 limits.</w:t>
      </w:r>
      <w:r w:rsidRPr="00667728">
        <w:rPr>
          <w:b/>
          <w:bCs/>
          <w:lang w:eastAsia="zh-CN"/>
        </w:rPr>
        <w:t xml:space="preserve"> </w:t>
      </w:r>
    </w:p>
    <w:p w14:paraId="4C1F3C48" w14:textId="0A740AE0" w:rsidR="00A009B2" w:rsidRDefault="000228CC" w:rsidP="00746535">
      <w:bookmarkStart w:id="1" w:name="_Hlk23768834"/>
      <w:r>
        <w:rPr>
          <w:lang w:eastAsia="zh-CN"/>
        </w:rPr>
        <w:t xml:space="preserve">When determining the limits of </w:t>
      </w:r>
      <w:r w:rsidR="005F2123">
        <w:rPr>
          <w:lang w:eastAsia="zh-CN"/>
        </w:rPr>
        <w:t>the total number of PDCCH candidates and non-overlapped CCEs to be monitored per slot</w:t>
      </w:r>
      <w:r w:rsidR="0024332F">
        <w:rPr>
          <w:lang w:eastAsia="zh-CN"/>
        </w:rPr>
        <w:t xml:space="preserve">, the parameter </w:t>
      </w:r>
      <w:r w:rsidR="0024332F" w:rsidRPr="007C17EB">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24332F" w:rsidRPr="007C17EB">
        <w:t xml:space="preserve"> i</w:t>
      </w:r>
      <w:r w:rsidR="0024332F">
        <w:t xml:space="preserve">s particularly </w:t>
      </w:r>
      <w:r w:rsidR="00390DD4">
        <w:t xml:space="preserve">important. </w:t>
      </w:r>
      <w:r w:rsidR="0049752F">
        <w:t xml:space="preserve">In theory, </w:t>
      </w:r>
      <w:r w:rsidR="00462EDF">
        <w:t>we can</w:t>
      </w:r>
      <w:r w:rsidR="00732335">
        <w:t xml:space="preserve"> separately</w:t>
      </w:r>
      <w:r w:rsidR="00462EDF">
        <w:t xml:space="preserve"> have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32335">
        <w:t xml:space="preserve"> for source and target cells. However, this approach significantly increase</w:t>
      </w:r>
      <w:r w:rsidR="00A1257C">
        <w:t>s the limits UE is required to monitor in a slot</w:t>
      </w:r>
      <w:r w:rsidR="001B2355">
        <w:t xml:space="preserve"> when UE is configured with </w:t>
      </w:r>
      <w:r w:rsidR="00674539">
        <w:t xml:space="preserve">SCG (beside </w:t>
      </w:r>
      <w:r w:rsidR="006252CE">
        <w:t xml:space="preserve">one MCG </w:t>
      </w:r>
      <w:r w:rsidR="002A7B15">
        <w:t>at the</w:t>
      </w:r>
      <w:r w:rsidR="006252CE">
        <w:t xml:space="preserve"> source and one MCG </w:t>
      </w:r>
      <w:r w:rsidR="002A7B15">
        <w:t>at the</w:t>
      </w:r>
      <w:r w:rsidR="006252CE">
        <w:t xml:space="preserve"> target</w:t>
      </w:r>
      <w:r w:rsidR="00674539">
        <w:t>)</w:t>
      </w:r>
      <w:r w:rsidR="00D675BC">
        <w:t xml:space="preserve"> or when UE is</w:t>
      </w:r>
      <w:r w:rsidR="00E678DE">
        <w:t xml:space="preserve"> not supporting NR-DC feature</w:t>
      </w:r>
      <w:r w:rsidR="00674539">
        <w:t>.</w:t>
      </w:r>
      <w:r w:rsidR="00BD7640">
        <w:t xml:space="preserve"> Furthermore, </w:t>
      </w:r>
      <w:r w:rsidR="00ED13E3">
        <w:t xml:space="preserve">we </w:t>
      </w:r>
      <w:r w:rsidR="00DA016E">
        <w:t>may</w:t>
      </w:r>
      <w:r w:rsidR="00ED13E3">
        <w:t xml:space="preserve"> leverage </w:t>
      </w:r>
      <w:r w:rsidR="007359FC">
        <w:t xml:space="preserve">NR-DC feature </w:t>
      </w:r>
      <w:r w:rsidR="00507411">
        <w:t>for the inter-frequency HO case only.</w:t>
      </w:r>
    </w:p>
    <w:p w14:paraId="36606297" w14:textId="65586581" w:rsidR="00431990" w:rsidRDefault="008B2264" w:rsidP="00746535">
      <w:r>
        <w:t xml:space="preserve">The other approach is to share the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between </w:t>
      </w:r>
      <w:r w:rsidR="00B64E95">
        <w:t xml:space="preserve">source and target cells, which </w:t>
      </w:r>
      <w:r w:rsidR="00BE3378">
        <w:t xml:space="preserve">keeps the total limits </w:t>
      </w:r>
      <w:r w:rsidR="00740832">
        <w:t xml:space="preserve">the </w:t>
      </w:r>
      <w:r w:rsidR="00BE3378">
        <w:t>UE need</w:t>
      </w:r>
      <w:r w:rsidR="00D13B30">
        <w:t>s to monitor the same as Rel-15</w:t>
      </w:r>
      <w:r w:rsidR="002B1AE2">
        <w:t xml:space="preserve"> limits</w:t>
      </w:r>
      <w:r w:rsidR="00D13B30">
        <w:t>.</w:t>
      </w:r>
      <w:r w:rsidR="00815CB3">
        <w:t xml:space="preserve"> More specifically,</w:t>
      </w:r>
      <w:r w:rsidR="004F295D">
        <w:t xml:space="preserve"> assume</w:t>
      </w:r>
      <w:r w:rsidR="009C52E6" w:rsidRPr="00DD3B47">
        <w:rPr>
          <w:lang w:eastAsia="ko-KR"/>
        </w:rPr>
        <w:t xml:space="preserve"> a UE </w:t>
      </w:r>
      <w:r w:rsidR="009C52E6" w:rsidRPr="00DD3B47">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9C52E6" w:rsidRPr="00DD3B47">
        <w:t xml:space="preserve"> downlink cells with DL BWPs having SCS configuration </w:t>
      </w:r>
      <m:oMath>
        <m:r>
          <w:rPr>
            <w:rFonts w:ascii="Cambria Math" w:hAnsi="Cambria Math"/>
          </w:rPr>
          <m:t>μ</m:t>
        </m:r>
      </m:oMath>
      <w:r w:rsidR="009C52E6" w:rsidRPr="00DD3B47">
        <w:t xml:space="preserve"> at the source and with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9C52E6" w:rsidRPr="00DD3B47">
        <w:t xml:space="preserve"> downlink cells with DL BWPs having SCS configuration </w:t>
      </w:r>
      <m:oMath>
        <m:r>
          <w:rPr>
            <w:rFonts w:ascii="Cambria Math"/>
          </w:rPr>
          <m:t>μ</m:t>
        </m:r>
      </m:oMath>
      <w:r w:rsidR="009C52E6" w:rsidRPr="00DD3B47">
        <w:t xml:space="preserve"> at the target</w:t>
      </w:r>
      <w:r w:rsidR="00431990">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rPr>
              <m:t>=N</m:t>
            </m:r>
          </m:e>
          <m:sub>
            <m:r>
              <m:rPr>
                <m:nor/>
              </m:rPr>
              <w:rPr>
                <w:rFonts w:ascii="Cambria Math"/>
              </w:rPr>
              <m:t>cells,S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46535" w:rsidRPr="00DD3B47">
        <w:t xml:space="preserve">. </w:t>
      </w:r>
      <w:r w:rsidR="004F295D">
        <w:t>There are two cases:</w:t>
      </w:r>
    </w:p>
    <w:p w14:paraId="3D32EA96" w14:textId="13D184CF" w:rsidR="004F295D" w:rsidRDefault="004F295D" w:rsidP="004F295D">
      <w:pPr>
        <w:pStyle w:val="ListParagraph"/>
        <w:numPr>
          <w:ilvl w:val="0"/>
          <w:numId w:val="28"/>
        </w:numPr>
      </w:pPr>
      <w:r>
        <w:t>Case 1</w:t>
      </w:r>
      <w:r w:rsidR="00BD36DA">
        <w:t xml:space="preserve"> when</w:t>
      </w:r>
      <w:r>
        <w:t xml:space="preserv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2C225D" w:rsidRPr="00D20E88">
        <w:t xml:space="preserve">, </w:t>
      </w:r>
      <w:r w:rsidR="002A709C">
        <w:t>the limits are identical to the ones in TS 38.213.</w:t>
      </w:r>
      <w:r w:rsidR="00BD36DA">
        <w:t xml:space="preserve"> </w:t>
      </w:r>
      <w:r w:rsidR="00E12985">
        <w:t>In particular, f</w:t>
      </w:r>
      <w:r w:rsidR="00BD36DA">
        <w:t xml:space="preserve">or this case, </w:t>
      </w:r>
      <w:r w:rsidR="002C225D">
        <w:rPr>
          <w:lang w:eastAsia="ko-KR"/>
        </w:rPr>
        <w:t>the</w:t>
      </w:r>
      <w:r w:rsidR="002C225D" w:rsidRPr="00A33143">
        <w:rPr>
          <w:lang w:eastAsia="ko-KR"/>
        </w:rPr>
        <w:t xml:space="preserve"> UE is not required to monitor</w:t>
      </w:r>
      <w:r w:rsidR="002C225D">
        <w:rPr>
          <w:lang w:eastAsia="ko-KR"/>
        </w:rPr>
        <w:t>,</w:t>
      </w:r>
      <w:r w:rsidR="002C225D" w:rsidRPr="00A33143">
        <w:rPr>
          <w:lang w:eastAsia="ko-KR"/>
        </w:rPr>
        <w:t xml:space="preserve"> on the active DL BWP of the scheduling cell</w:t>
      </w:r>
      <w:r w:rsidR="002C225D">
        <w:rPr>
          <w:lang w:eastAsia="ko-KR"/>
        </w:rPr>
        <w:t>,</w:t>
      </w:r>
      <w:r w:rsidR="002C225D" w:rsidRPr="00A33143">
        <w:rPr>
          <w:lang w:eastAsia="ko-KR"/>
        </w:rPr>
        <w:t xml:space="preserve"> more than</w:t>
      </w:r>
      <w:r w:rsidR="002C225D">
        <w:rPr>
          <w:lang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2C225D"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2C225D" w:rsidRPr="00A33143">
        <w:t xml:space="preserve"> non-overlapped CCEs per slot</w:t>
      </w:r>
      <w:r w:rsidR="002C225D">
        <w:t xml:space="preserve"> for each scheduled cell</w:t>
      </w:r>
      <w:r w:rsidR="002C225D" w:rsidRPr="00A33143">
        <w:t>.</w:t>
      </w:r>
    </w:p>
    <w:p w14:paraId="336C9A6C" w14:textId="5C54911C" w:rsidR="00746535" w:rsidRDefault="00F15D3A" w:rsidP="00746535">
      <w:pPr>
        <w:pStyle w:val="ListParagraph"/>
        <w:numPr>
          <w:ilvl w:val="0"/>
          <w:numId w:val="28"/>
        </w:numPr>
        <w:rPr>
          <w:lang w:eastAsia="zh-CN"/>
        </w:rPr>
      </w:pPr>
      <w:r>
        <w:t xml:space="preserve">Case 2 when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DL,</m:t>
                </m:r>
                <m:r>
                  <w:rPr>
                    <w:rFonts w:ascii="Cambria Math" w:hAnsi="Cambria Math"/>
                  </w:rPr>
                  <m:t>μ</m:t>
                </m:r>
                <m:ctrlPr>
                  <w:rPr>
                    <w:rFonts w:ascii="Cambria Math" w:hAnsi="Cambria Math"/>
                  </w:rPr>
                </m:ctrlPr>
              </m:sup>
            </m:sSubSup>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cap</m:t>
            </m:r>
            <m:ctrlPr>
              <w:rPr>
                <w:rFonts w:ascii="Cambria Math" w:hAnsi="Cambria Math"/>
              </w:rPr>
            </m:ctrlPr>
          </m:sup>
        </m:sSubSup>
      </m:oMath>
      <w:r>
        <w:t>, the limit</w:t>
      </w:r>
      <w:r w:rsidR="0003430D">
        <w:t xml:space="preserve">s should factor in the shared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03430D">
        <w:t>.</w:t>
      </w:r>
      <w:r w:rsidR="003C7FA2">
        <w:t xml:space="preserve"> In particular, </w:t>
      </w:r>
      <w:r w:rsidR="00746535">
        <w:t xml:space="preserve">we can partition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w:t>
      </w:r>
      <w:r w:rsidR="00746535">
        <w:rPr>
          <w:lang w:eastAsia="zh-CN"/>
        </w:rPr>
        <w:t xml:space="preserve">into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w:t>
      </w:r>
      <w:r w:rsidR="00746535">
        <w:rPr>
          <w:lang w:eastAsia="zh-CN"/>
        </w:rPr>
        <w:t xml:space="preserve">and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for source and target cells respectively such that</w:t>
      </w:r>
      <w:r w:rsidR="003C7FA2">
        <w:t xml:space="preserve">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3C7FA2">
        <w:t xml:space="preserve">. </w:t>
      </w:r>
      <w:r w:rsidR="00746535">
        <w:t xml:space="preserve">Then similar to Rel-15, UE can </w:t>
      </w:r>
      <w:r w:rsidR="005C0B6B">
        <w:t>determine</w:t>
      </w:r>
      <w:r w:rsidR="00746535">
        <w:t xml:space="preserve"> </w:t>
      </w:r>
      <w:r w:rsidR="00746535">
        <w:rPr>
          <w:lang w:eastAsia="zh-CN"/>
        </w:rPr>
        <w:t xml:space="preserve">the total number of non-overlapped CCEs to be monitored per slot for source and target cells </w:t>
      </w:r>
      <w:r w:rsidR="009447F6">
        <w:rPr>
          <w:lang w:eastAsia="zh-CN"/>
        </w:rPr>
        <w:t xml:space="preserve">based on </w:t>
      </w:r>
      <m:oMath>
        <m:sSubSup>
          <m:sSubSupPr>
            <m:ctrlPr>
              <w:rPr>
                <w:rFonts w:ascii="Cambria Math" w:hAnsi="Cambria Math"/>
                <w:i/>
              </w:rPr>
            </m:ctrlPr>
          </m:sSubSupPr>
          <m:e>
            <m:r>
              <w:rPr>
                <w:rFonts w:ascii="Cambria Math"/>
              </w:rPr>
              <m:t>N</m:t>
            </m:r>
          </m:e>
          <m:sub>
            <w:proofErr w:type="gramStart"/>
            <m:r>
              <m:rPr>
                <m:nor/>
              </m:rPr>
              <w:rPr>
                <w:rFonts w:ascii="Cambria Math"/>
              </w:rPr>
              <m:t>cells,S</m:t>
            </m:r>
            <w:proofErr w:type="gramEnd"/>
            <m:ctrlPr>
              <w:rPr>
                <w:rFonts w:ascii="Cambria Math" w:hAnsi="Cambria Math"/>
              </w:rPr>
            </m:ctrlPr>
          </m:sub>
          <m:sup>
            <m:r>
              <m:rPr>
                <m:nor/>
              </m:rPr>
              <w:rPr>
                <w:rFonts w:ascii="Cambria Math"/>
              </w:rPr>
              <m:t>cap</m:t>
            </m:r>
            <m:ctrlPr>
              <w:rPr>
                <w:rFonts w:ascii="Cambria Math" w:hAnsi="Cambria Math"/>
              </w:rPr>
            </m:ctrlPr>
          </m:sup>
        </m:sSubSup>
      </m:oMath>
      <w:r w:rsidR="009447F6">
        <w:t xml:space="preserve"> </w:t>
      </w:r>
      <w:r w:rsidR="009447F6">
        <w:rPr>
          <w:lang w:eastAsia="zh-CN"/>
        </w:rPr>
        <w:t xml:space="preserve">and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oMath>
      <w:r w:rsidR="009447F6">
        <w:t xml:space="preserve"> respectively</w:t>
      </w:r>
      <w:r w:rsidR="005163CE">
        <w:t xml:space="preserve"> as</w:t>
      </w:r>
    </w:p>
    <w:p w14:paraId="375BFFE9" w14:textId="77777777" w:rsidR="00746535" w:rsidRPr="00DD3B47" w:rsidRDefault="00DA016E" w:rsidP="00746535">
      <m:oMathPara>
        <m:oMath>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5F757126" w14:textId="77777777" w:rsidR="00746535" w:rsidRDefault="00DA016E" w:rsidP="00746535">
      <w:pPr>
        <w:rPr>
          <w:lang w:eastAsia="zh-CN"/>
        </w:rPr>
      </w:pPr>
      <m:oMathPara>
        <m:oMath>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cells,n</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3782A109" w14:textId="5E9055D9" w:rsidR="00746535" w:rsidRDefault="00746535" w:rsidP="003C7FA2">
      <w:pPr>
        <w:ind w:firstLine="720"/>
      </w:pPr>
      <w:r>
        <w:t>where n = S for source or n = T for target cells.</w:t>
      </w:r>
    </w:p>
    <w:p w14:paraId="623A448A" w14:textId="297AA4B4" w:rsidR="00DE2926" w:rsidRDefault="00B44098" w:rsidP="00DE2926">
      <w:r>
        <w:t>Based on above analysis, we make the following proposals:</w:t>
      </w:r>
    </w:p>
    <w:p w14:paraId="2968B521" w14:textId="53C769D0" w:rsidR="00746535" w:rsidRPr="00320EA2" w:rsidRDefault="00746535" w:rsidP="00746535">
      <w:pPr>
        <w:rPr>
          <w:b/>
          <w:bCs/>
        </w:rPr>
      </w:pPr>
      <w:r w:rsidRPr="00320EA2">
        <w:rPr>
          <w:b/>
          <w:bCs/>
        </w:rPr>
        <w:t xml:space="preserve">Proposal 2: </w:t>
      </w:r>
      <w:r w:rsidR="00DE2926">
        <w:rPr>
          <w:b/>
          <w:bCs/>
          <w:lang w:eastAsia="zh-CN"/>
        </w:rPr>
        <w:t>T</w:t>
      </w:r>
      <w:r w:rsidR="003B5254">
        <w:rPr>
          <w:b/>
          <w:bCs/>
          <w:lang w:eastAsia="zh-CN"/>
        </w:rPr>
        <w:t xml:space="preserve">he </w:t>
      </w:r>
      <w:r w:rsidR="00F9780C">
        <w:rPr>
          <w:b/>
          <w:bCs/>
          <w:lang w:eastAsia="zh-CN"/>
        </w:rPr>
        <w:t xml:space="preserve">determination </w:t>
      </w:r>
      <w:r w:rsidR="00D11F72">
        <w:rPr>
          <w:b/>
          <w:bCs/>
          <w:lang w:eastAsia="zh-CN"/>
        </w:rPr>
        <w:t>of</w:t>
      </w:r>
      <w:r w:rsidRPr="00320EA2">
        <w:rPr>
          <w:b/>
          <w:bCs/>
          <w:lang w:eastAsia="zh-CN"/>
        </w:rPr>
        <w:t xml:space="preserve"> total limit for BD/CCE</w:t>
      </w:r>
      <w:r w:rsidR="008B6116">
        <w:rPr>
          <w:b/>
          <w:bCs/>
          <w:lang w:eastAsia="zh-CN"/>
        </w:rPr>
        <w:t xml:space="preserve"> </w:t>
      </w:r>
      <w:r w:rsidR="003B5254">
        <w:rPr>
          <w:b/>
          <w:bCs/>
          <w:lang w:eastAsia="zh-CN"/>
        </w:rPr>
        <w:t>in</w:t>
      </w:r>
      <w:r w:rsidR="008B6116">
        <w:rPr>
          <w:b/>
          <w:bCs/>
          <w:lang w:eastAsia="zh-CN"/>
        </w:rPr>
        <w:t xml:space="preserve"> a slot</w:t>
      </w:r>
      <w:r w:rsidRPr="00320EA2">
        <w:rPr>
          <w:b/>
          <w:bCs/>
          <w:lang w:eastAsia="zh-CN"/>
        </w:rPr>
        <w:t xml:space="preserve"> </w:t>
      </w:r>
      <w:r w:rsidR="005C769E">
        <w:rPr>
          <w:b/>
          <w:bCs/>
          <w:lang w:eastAsia="zh-CN"/>
        </w:rPr>
        <w:t>is</w:t>
      </w:r>
      <w:r w:rsidRPr="00320EA2">
        <w:rPr>
          <w:b/>
          <w:bCs/>
          <w:lang w:eastAsia="zh-CN"/>
        </w:rPr>
        <w:t xml:space="preserve"> based on</w:t>
      </w:r>
      <w:r w:rsidRPr="00320EA2">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320EA2">
        <w:rPr>
          <w:b/>
          <w:bCs/>
        </w:rPr>
        <w:t xml:space="preserve"> </w:t>
      </w:r>
      <w:r w:rsidR="00D11F72">
        <w:rPr>
          <w:b/>
          <w:bCs/>
        </w:rPr>
        <w:t>(</w:t>
      </w:r>
      <w:r w:rsidRPr="00320EA2">
        <w:rPr>
          <w:b/>
          <w:bCs/>
          <w:lang w:eastAsia="zh-CN"/>
        </w:rPr>
        <w:t xml:space="preserve">described in </w:t>
      </w:r>
      <w:r w:rsidR="006F4D72">
        <w:rPr>
          <w:b/>
          <w:bCs/>
          <w:lang w:eastAsia="zh-CN"/>
        </w:rPr>
        <w:t>S</w:t>
      </w:r>
      <w:r w:rsidRPr="00320EA2">
        <w:rPr>
          <w:b/>
          <w:bCs/>
          <w:lang w:eastAsia="zh-CN"/>
        </w:rPr>
        <w:t>ubclause 10 in TS38.213</w:t>
      </w:r>
      <w:r w:rsidR="006F4D72">
        <w:rPr>
          <w:b/>
          <w:bCs/>
          <w:lang w:eastAsia="zh-CN"/>
        </w:rPr>
        <w:t xml:space="preserve">) that is shared </w:t>
      </w:r>
      <w:r>
        <w:rPr>
          <w:b/>
          <w:bCs/>
          <w:lang w:eastAsia="zh-CN"/>
        </w:rPr>
        <w:t>for the source and target cells</w:t>
      </w:r>
      <w:r w:rsidRPr="00320EA2">
        <w:rPr>
          <w:b/>
          <w:bCs/>
          <w:lang w:eastAsia="zh-CN"/>
        </w:rPr>
        <w:t>.</w:t>
      </w:r>
    </w:p>
    <w:p w14:paraId="30F98B2E" w14:textId="2A5814BA" w:rsidR="00746535" w:rsidRPr="00342965" w:rsidRDefault="00746535" w:rsidP="00746535">
      <w:pPr>
        <w:rPr>
          <w:b/>
          <w:bCs/>
        </w:rPr>
      </w:pPr>
      <w:r w:rsidRPr="00DD3B47">
        <w:rPr>
          <w:b/>
          <w:bCs/>
        </w:rPr>
        <w:t xml:space="preserve">Proposal 3: Partition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into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and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for source and target cells respectively such that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Pr>
          <w:b/>
          <w:bCs/>
        </w:rPr>
        <w:t xml:space="preserve"> when </w:t>
      </w:r>
      <w:r w:rsidR="00E669B0">
        <w:rPr>
          <w:b/>
          <w:bCs/>
        </w:rPr>
        <w:t>determining</w:t>
      </w:r>
      <w:r>
        <w:rPr>
          <w:b/>
          <w:bCs/>
        </w:rPr>
        <w:t xml:space="preserve"> BD/CCE limit for source and target cells</w:t>
      </w:r>
      <w:r w:rsidR="00342965">
        <w:rPr>
          <w:b/>
          <w:bCs/>
        </w:rPr>
        <w:t xml:space="preserve"> </w:t>
      </w:r>
      <w:r w:rsidR="00054543">
        <w:rPr>
          <w:b/>
          <w:bCs/>
        </w:rPr>
        <w:t xml:space="preserve">for the </w:t>
      </w:r>
      <w:r w:rsidR="00054543" w:rsidRPr="00CA785A">
        <w:rPr>
          <w:b/>
          <w:bCs/>
        </w:rPr>
        <w:t>case</w:t>
      </w:r>
      <w:r w:rsidR="00CA785A" w:rsidRPr="00CA785A">
        <w:rPr>
          <w:b/>
          <w:bCs/>
        </w:rPr>
        <w:t xml:space="preserve">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342965">
        <w:rPr>
          <w:b/>
          <w:bCs/>
        </w:rPr>
        <w:t>.</w:t>
      </w:r>
    </w:p>
    <w:p w14:paraId="705D3588" w14:textId="5144BEDF" w:rsidR="00746535" w:rsidRDefault="0094127A" w:rsidP="00746535">
      <w:r>
        <w:t xml:space="preserve">There may be multiple options to partition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when</w:t>
      </w:r>
      <w:r w:rsidR="00CA785A">
        <w:t xml:space="preserv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DL,</m:t>
                </m:r>
                <m:r>
                  <w:rPr>
                    <w:rFonts w:ascii="Cambria Math" w:hAnsi="Cambria Math"/>
                  </w:rPr>
                  <m:t>μ</m:t>
                </m:r>
                <m:ctrlPr>
                  <w:rPr>
                    <w:rFonts w:ascii="Cambria Math" w:hAnsi="Cambria Math"/>
                  </w:rPr>
                </m:ctrlPr>
              </m:sup>
            </m:sSubSup>
          </m:e>
        </m:nary>
        <m:r>
          <w:rPr>
            <w:rFonts w:ascii="Cambria Math" w:hAnsi="Cambria Math"/>
          </w:rPr>
          <m:t>&gt;</m:t>
        </m:r>
        <m:sSubSup>
          <m:sSubSupPr>
            <m:ctrlPr>
              <w:rPr>
                <w:rFonts w:ascii="Cambria Math" w:hAnsi="Cambria Math"/>
                <w:i/>
              </w:rPr>
            </m:ctrlPr>
          </m:sSubSupPr>
          <m:e>
            <m:r>
              <w:rPr>
                <w:rFonts w:ascii="Cambria Math" w:hAnsi="Cambria Math"/>
              </w:rPr>
              <m:t>N</m:t>
            </m:r>
          </m:e>
          <m:sub>
            <m:r>
              <m:rPr>
                <m:nor/>
              </m:rPr>
              <w:rPr>
                <w:rFonts w:ascii="Cambria Math" w:hAnsi="Cambria Math"/>
              </w:rPr>
              <m:t>cells</m:t>
            </m:r>
            <m:ctrlPr>
              <w:rPr>
                <w:rFonts w:ascii="Cambria Math" w:hAnsi="Cambria Math"/>
              </w:rPr>
            </m:ctrlPr>
          </m:sub>
          <m:sup>
            <m:r>
              <m:rPr>
                <m:nor/>
              </m:rPr>
              <w:rPr>
                <w:rFonts w:ascii="Cambria Math" w:hAnsi="Cambria Math"/>
              </w:rPr>
              <m:t>cap</m:t>
            </m:r>
            <m:ctrlPr>
              <w:rPr>
                <w:rFonts w:ascii="Cambria Math" w:hAnsi="Cambria Math"/>
              </w:rPr>
            </m:ctrlPr>
          </m:sup>
        </m:sSubSup>
      </m:oMath>
      <w:r w:rsidR="004F4610">
        <w:rPr>
          <w:bCs/>
        </w:rPr>
        <w:t>. One possible</w:t>
      </w:r>
      <w:r w:rsidR="00746535">
        <w:t xml:space="preserve"> option </w:t>
      </w:r>
      <w:r w:rsidR="00175632">
        <w:t xml:space="preserve">is that the </w:t>
      </w:r>
      <w:r w:rsidR="00746535">
        <w:t>partition</w:t>
      </w:r>
      <w:r w:rsidR="00175632">
        <w:t xml:space="preserve"> of</w:t>
      </w:r>
      <w:r w:rsidR="00746535">
        <w:rPr>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46535">
        <w:t xml:space="preserve"> </w:t>
      </w:r>
      <w:r w:rsidR="00746535">
        <w:rPr>
          <w:lang w:eastAsia="zh-CN"/>
        </w:rPr>
        <w:t xml:space="preserve">is </w:t>
      </w:r>
      <w:r w:rsidR="007D6638">
        <w:rPr>
          <w:lang w:eastAsia="zh-CN"/>
        </w:rPr>
        <w:t>proportion</w:t>
      </w:r>
      <w:r w:rsidR="00175632">
        <w:rPr>
          <w:lang w:eastAsia="zh-CN"/>
        </w:rPr>
        <w:t>al to the number</w:t>
      </w:r>
      <w:r w:rsidR="00746535">
        <w:rPr>
          <w:lang w:eastAsia="zh-CN"/>
        </w:rPr>
        <w:t xml:space="preserve"> of cells at the source and at the target</w:t>
      </w:r>
      <w:r w:rsidR="00CE5778">
        <w:rPr>
          <w:lang w:eastAsia="zh-CN"/>
        </w:rPr>
        <w:t xml:space="preserve"> </w:t>
      </w:r>
      <w:r w:rsidR="00175632">
        <w:rPr>
          <w:lang w:eastAsia="zh-CN"/>
        </w:rPr>
        <w:t>e.g.,</w:t>
      </w:r>
    </w:p>
    <w:p w14:paraId="42DB89BC" w14:textId="05E17848" w:rsidR="00746535" w:rsidRPr="00FD45FD" w:rsidRDefault="00DA016E" w:rsidP="00746535">
      <m:oMathPara>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hAnsi="Cambria Math"/>
            </w:rPr>
            <m:t>/</m:t>
          </m:r>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oMath>
      </m:oMathPara>
    </w:p>
    <w:p w14:paraId="7B3FB75A" w14:textId="55E73481" w:rsidR="00746535" w:rsidRDefault="00DA016E" w:rsidP="00746535">
      <m:oMathPara>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hAnsi="Cambria Math"/>
            </w:rPr>
            <m:t>/</m:t>
          </m:r>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oMath>
      </m:oMathPara>
    </w:p>
    <w:p w14:paraId="5669F187" w14:textId="0E7D66D4" w:rsidR="00746535" w:rsidRDefault="00175632" w:rsidP="00746535">
      <w:r>
        <w:t>Now</w:t>
      </w:r>
      <w:r w:rsidR="00746535">
        <w:t>, for the source cells, we can find the total number of PDCCH candidates and non-overlapped CCEs as</w:t>
      </w:r>
    </w:p>
    <w:p w14:paraId="3963AF5F" w14:textId="40BED867" w:rsidR="00746535" w:rsidRPr="003204E3" w:rsidRDefault="00DA016E" w:rsidP="00746535">
      <m:oMathPara>
        <m:oMath>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r>
            <w:rPr>
              <w:rFonts w:ascii="Cambria Math" w:hAnsi="Cambria Math" w:cs="Calibri"/>
            </w:rPr>
            <m:t xml:space="preserve">= </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404B957F" w14:textId="6B646435" w:rsidR="00746535" w:rsidRPr="003204E3" w:rsidRDefault="00DA016E" w:rsidP="00746535">
      <m:oMathPara>
        <m:oMath>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r>
            <w:rPr>
              <w:rFonts w:ascii="Cambria Math" w:hAnsi="Cambria Math" w:cs="Calibri"/>
            </w:rPr>
            <m:t xml:space="preserve">= </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175A7FF2" w14:textId="7803C78A" w:rsidR="000005B9" w:rsidRDefault="00A93F78" w:rsidP="00746535">
      <w:r>
        <w:t>We can observe that with sharing</w:t>
      </w:r>
      <w:r w:rsidR="009761D3">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9761D3">
        <w:t xml:space="preserve">, </w:t>
      </w:r>
      <w:r w:rsidR="003E0D33">
        <w:t xml:space="preserve">the ratio </w:t>
      </w:r>
      <m:oMath>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oMath>
      <w:r w:rsidR="003E0D33">
        <w:t xml:space="preserve"> in the Rel-15 limits become</w:t>
      </w:r>
      <w:r w:rsidR="00627D12">
        <w:t>s</w:t>
      </w:r>
      <w:r w:rsidR="003E0D33">
        <w:t xml:space="preserve"> </w:t>
      </w:r>
      <m:oMath>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oMath>
      <w:r w:rsidR="00576517">
        <w:t>. In total, the limits across the source and target</w:t>
      </w:r>
      <w:r w:rsidR="000B3C26">
        <w:t xml:space="preserve"> cells remain the same as the Rel-15 limits.</w:t>
      </w:r>
    </w:p>
    <w:p w14:paraId="2EB2F5A4" w14:textId="05653979" w:rsidR="00746535" w:rsidRDefault="00746535" w:rsidP="00746535">
      <w:r>
        <w:t xml:space="preserve">Alternatively, the network can signal the partition factor </w:t>
      </w:r>
      <w:r>
        <w:rPr>
          <w:rFonts w:ascii="Cambria Math" w:hAnsi="Cambria Math"/>
        </w:rPr>
        <w:t>α</w:t>
      </w:r>
      <w:r>
        <w:t xml:space="preserve"> such that </w:t>
      </w:r>
      <m:oMath>
        <m:sSubSup>
          <m:sSubSupPr>
            <m:ctrlPr>
              <w:rPr>
                <w:rFonts w:ascii="Cambria Math" w:hAnsi="Cambria Math"/>
                <w:i/>
              </w:rPr>
            </m:ctrlPr>
          </m:sSubSupPr>
          <m:e>
            <m:r>
              <w:rPr>
                <w:rFonts w:ascii="Cambria Math"/>
              </w:rPr>
              <m:t>N</m:t>
            </m:r>
          </m:e>
          <m:sub>
            <m:r>
              <m:rPr>
                <m:nor/>
              </m:rPr>
              <w:rPr>
                <w:rFonts w:ascii="Cambria Math"/>
              </w:rPr>
              <m:t>cells,S</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hAnsi="Cambria Math"/>
              </w:rPr>
              <m:t>α</m:t>
            </m:r>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N</m:t>
            </m:r>
          </m:e>
          <m:sub>
            <m:r>
              <m:rPr>
                <m:nor/>
              </m:rPr>
              <w:rPr>
                <w:rFonts w:ascii="Cambria Math"/>
              </w:rPr>
              <m:t>cells,T</m:t>
            </m:r>
            <m:ctrlPr>
              <w:rPr>
                <w:rFonts w:ascii="Cambria Math" w:hAnsi="Cambria Math"/>
              </w:rPr>
            </m:ctrlPr>
          </m:sub>
          <m:sup>
            <m:r>
              <m:rPr>
                <m:nor/>
              </m:rPr>
              <w:rPr>
                <w:rFonts w:ascii="Cambria Math"/>
              </w:rPr>
              <m:t>cap</m:t>
            </m:r>
            <m:ctrlPr>
              <w:rPr>
                <w:rFonts w:ascii="Cambria Math" w:hAnsi="Cambria Math"/>
              </w:rPr>
            </m:ctrlPr>
          </m:sup>
        </m:sSubSup>
        <m:r>
          <w:rPr>
            <w:rFonts w:ascii="Cambria Math"/>
          </w:rPr>
          <m:t>=(1</m:t>
        </m:r>
        <m:r>
          <w:rPr>
            <w:rFonts w:ascii="Cambria Math"/>
          </w:rPr>
          <m:t>-</m:t>
        </m:r>
        <m:r>
          <w:rPr>
            <w:rFonts w:ascii="Cambria Math" w:hAnsi="Cambria Math"/>
          </w:rPr>
          <m:t>α)</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Then the UE can determine the total number of PDCCH candidates and non-overlapped CCEs at the source cells</w:t>
      </w:r>
    </w:p>
    <w:p w14:paraId="22865984" w14:textId="77777777" w:rsidR="00746535" w:rsidRPr="003204E3" w:rsidRDefault="00DA016E" w:rsidP="00746535">
      <m:oMathPara>
        <m:oMath>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αN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M</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1724D4A1" w14:textId="77777777" w:rsidR="00746535" w:rsidRPr="003204E3" w:rsidRDefault="00DA016E" w:rsidP="00746535">
      <w:pPr>
        <w:rPr>
          <w:sz w:val="18"/>
          <w:szCs w:val="18"/>
        </w:rPr>
      </w:pPr>
      <m:oMathPara>
        <m:oMath>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(1-α)N</m:t>
                  </m:r>
                </m:e>
                <m:sub>
                  <m:r>
                    <m:rPr>
                      <m:nor/>
                    </m:rPr>
                    <w:rPr>
                      <w:rFonts w:ascii="Cambria Math" w:hAnsi="Cambria Math" w:cs="Calibri"/>
                    </w:rPr>
                    <m:t>cells</m:t>
                  </m:r>
                  <m:ctrlPr>
                    <w:rPr>
                      <w:rFonts w:ascii="Cambria Math" w:hAnsi="Cambria Math" w:cs="Calibri"/>
                    </w:rPr>
                  </m:ctrlPr>
                </m:sub>
                <m:sup>
                  <m:r>
                    <m:rPr>
                      <m:nor/>
                    </m:rPr>
                    <w:rPr>
                      <w:rFonts w:ascii="Cambria Math" w:hAnsi="Cambria Math" w:cs="Calibri"/>
                    </w:rPr>
                    <m:t>cap</m:t>
                  </m:r>
                  <m:ctrlPr>
                    <w:rPr>
                      <w:rFonts w:ascii="Cambria Math" w:hAnsi="Cambria Math" w:cs="Calibri"/>
                    </w:rPr>
                  </m:ctrlPr>
                </m:sup>
              </m:sSubSup>
              <m:r>
                <w:rPr>
                  <w:rFonts w:ascii="Cambria Math" w:hAnsi="Cambria Math" w:cs="Calibri"/>
                </w:rPr>
                <m:t>⋅</m:t>
              </m:r>
              <m:sSubSup>
                <m:sSubSupPr>
                  <m:ctrlPr>
                    <w:rPr>
                      <w:rFonts w:ascii="Cambria Math" w:hAnsi="Cambria Math" w:cs="Calibri"/>
                      <w:i/>
                    </w:rPr>
                  </m:ctrlPr>
                </m:sSubSupPr>
                <m:e>
                  <m:r>
                    <w:rPr>
                      <w:rFonts w:ascii="Cambria Math" w:hAnsi="Cambria Math" w:cs="Calibri"/>
                    </w:rPr>
                    <m:t>C</m:t>
                  </m:r>
                </m:e>
                <m:sub>
                  <m:r>
                    <m:rPr>
                      <m:nor/>
                    </m:rPr>
                    <w:rPr>
                      <w:rFonts w:ascii="Cambria Math" w:hAnsi="Cambria Math" w:cs="Calibri"/>
                    </w:rPr>
                    <m:t>PDCCH</m:t>
                  </m:r>
                  <m:ctrlPr>
                    <w:rPr>
                      <w:rFonts w:ascii="Cambria Math" w:hAnsi="Cambria Math" w:cs="Calibri"/>
                    </w:rPr>
                  </m:ctrlPr>
                </m:sub>
                <m:sup>
                  <m:r>
                    <m:rPr>
                      <m:nor/>
                    </m:rPr>
                    <w:rPr>
                      <w:rFonts w:ascii="Cambria Math" w:hAnsi="Cambria Math" w:cs="Calibri"/>
                    </w:rPr>
                    <m:t>max,slot,</m:t>
                  </m:r>
                  <m:r>
                    <w:rPr>
                      <w:rFonts w:ascii="Cambria Math" w:hAnsi="Cambria Math" w:cs="Calibri"/>
                    </w:rPr>
                    <m:t>μ</m:t>
                  </m:r>
                  <m:ctrlPr>
                    <w:rPr>
                      <w:rFonts w:ascii="Cambria Math" w:hAnsi="Cambria Math" w:cs="Calibri"/>
                    </w:rPr>
                  </m:ctrlPr>
                </m:sup>
              </m:sSubSup>
              <m:r>
                <w:rPr>
                  <w:rFonts w:ascii="Cambria Math" w:hAnsi="Cambria Math" w:cs="Calibri"/>
                </w:rPr>
                <m:t>⋅</m:t>
              </m:r>
              <m:f>
                <m:fPr>
                  <m:type m:val="lin"/>
                  <m:ctrlPr>
                    <w:rPr>
                      <w:rFonts w:ascii="Cambria Math" w:hAnsi="Cambria Math" w:cs="Calibri"/>
                      <w:i/>
                    </w:rPr>
                  </m:ctrlPr>
                </m:fPr>
                <m:num>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μ</m:t>
                      </m:r>
                      <m:ctrlPr>
                        <w:rPr>
                          <w:rFonts w:ascii="Cambria Math" w:hAnsi="Cambria Math" w:cs="Calibri"/>
                        </w:rPr>
                      </m:ctrlPr>
                    </m:sup>
                  </m:sSubSup>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sSubSup>
                        <m:sSubSupPr>
                          <m:ctrlPr>
                            <w:rPr>
                              <w:rFonts w:ascii="Cambria Math" w:hAnsi="Cambria Math" w:cs="Calibri"/>
                              <w:i/>
                            </w:rPr>
                          </m:ctrlPr>
                        </m:sSubSupPr>
                        <m:e>
                          <m:r>
                            <w:rPr>
                              <w:rFonts w:ascii="Cambria Math" w:hAnsi="Cambria Math" w:cs="Calibri"/>
                            </w:rPr>
                            <m:t>N</m:t>
                          </m:r>
                        </m:e>
                        <m:sub>
                          <m:r>
                            <m:rPr>
                              <m:nor/>
                            </m:rPr>
                            <w:rPr>
                              <w:rFonts w:ascii="Cambria Math" w:hAnsi="Cambria Math" w:cs="Calibri"/>
                            </w:rPr>
                            <m:t>cells,S</m:t>
                          </m:r>
                          <m:ctrlPr>
                            <w:rPr>
                              <w:rFonts w:ascii="Cambria Math" w:hAnsi="Cambria Math" w:cs="Calibri"/>
                            </w:rPr>
                          </m:ctrlPr>
                        </m:sub>
                        <m:sup>
                          <m:r>
                            <m:rPr>
                              <m:nor/>
                            </m:rPr>
                            <w:rPr>
                              <w:rFonts w:ascii="Cambria Math" w:hAnsi="Cambria Math" w:cs="Calibri"/>
                            </w:rPr>
                            <m:t>DL,</m:t>
                          </m:r>
                          <m:r>
                            <w:rPr>
                              <w:rFonts w:ascii="Cambria Math" w:hAnsi="Cambria Math" w:cs="Calibri"/>
                            </w:rPr>
                            <m:t>j</m:t>
                          </m:r>
                          <m:ctrlPr>
                            <w:rPr>
                              <w:rFonts w:ascii="Cambria Math" w:hAnsi="Cambria Math" w:cs="Calibri"/>
                            </w:rPr>
                          </m:ctrlPr>
                        </m:sup>
                      </m:sSubSup>
                    </m:e>
                  </m:nary>
                </m:den>
              </m:f>
            </m:e>
          </m:d>
        </m:oMath>
      </m:oMathPara>
    </w:p>
    <w:p w14:paraId="7716931D" w14:textId="61546125" w:rsidR="00746535" w:rsidRDefault="00746535" w:rsidP="00746535">
      <w:pPr>
        <w:rPr>
          <w:lang w:eastAsia="zh-CN"/>
        </w:rPr>
      </w:pPr>
      <w:r w:rsidRPr="00E64B7F">
        <w:t xml:space="preserve">We can apply identical </w:t>
      </w:r>
      <w:r w:rsidR="00C00294">
        <w:t xml:space="preserve">principles </w:t>
      </w:r>
      <w:r w:rsidRPr="00E64B7F">
        <w:t xml:space="preserve">to determine </w:t>
      </w:r>
      <w:r>
        <w:t>the total number of PDCCH candidates and non-overlapped CCEs at the target cells.</w:t>
      </w:r>
      <w:r w:rsidR="00C00294">
        <w:t xml:space="preserve"> So, w</w:t>
      </w:r>
      <w:r>
        <w:rPr>
          <w:lang w:eastAsia="zh-CN"/>
        </w:rPr>
        <w:t>hen UE monitors PDCCH from source and target during DAPS HO, the total number of PDCCH candidates and the total number of non-overlapped CCEs to be monitored per slot are determined as the following proposal:</w:t>
      </w:r>
    </w:p>
    <w:p w14:paraId="3816C92E" w14:textId="101CBA66" w:rsidR="00746535" w:rsidRPr="00667728" w:rsidRDefault="00746535" w:rsidP="00746535">
      <w:pPr>
        <w:rPr>
          <w:b/>
          <w:bCs/>
          <w:lang w:eastAsia="zh-CN"/>
        </w:rPr>
      </w:pPr>
      <w:r w:rsidRPr="00667728">
        <w:rPr>
          <w:b/>
          <w:bCs/>
          <w:lang w:eastAsia="zh-CN"/>
        </w:rPr>
        <w:t>Proposal</w:t>
      </w:r>
      <w:r>
        <w:rPr>
          <w:b/>
          <w:bCs/>
          <w:lang w:eastAsia="zh-CN"/>
        </w:rPr>
        <w:t xml:space="preserve"> 4</w:t>
      </w:r>
      <w:r w:rsidRPr="00667728">
        <w:rPr>
          <w:b/>
          <w:bCs/>
          <w:lang w:eastAsia="zh-CN"/>
        </w:rPr>
        <w:t xml:space="preserve">: </w:t>
      </w:r>
      <w:r w:rsidRPr="00667728">
        <w:rPr>
          <w:b/>
          <w:bCs/>
          <w:lang w:eastAsia="ko-KR"/>
        </w:rPr>
        <w:t xml:space="preserve">When a UE </w:t>
      </w:r>
      <w:r w:rsidRPr="00667728">
        <w:rPr>
          <w:b/>
          <w:bCs/>
        </w:rPr>
        <w:t>is configured with</w:t>
      </w:r>
      <w:r w:rsidR="00322F63">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hAnsi="Cambria Math"/>
          </w:rPr>
          <m:t>μ</m:t>
        </m:r>
      </m:oMath>
      <w:r w:rsidRPr="00667728">
        <w:rPr>
          <w:b/>
          <w:bCs/>
        </w:rPr>
        <w:t xml:space="preserve"> at the source and with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rPr>
          <m:t>μ</m:t>
        </m:r>
      </m:oMath>
      <w:r w:rsidRPr="00667728">
        <w:rPr>
          <w:b/>
          <w:bCs/>
        </w:rPr>
        <w:t xml:space="preserve"> at the target,</w:t>
      </w:r>
    </w:p>
    <w:p w14:paraId="5D30B71C" w14:textId="4D577F53" w:rsidR="00746535" w:rsidRPr="00667728" w:rsidRDefault="00746535" w:rsidP="00746535">
      <w:pPr>
        <w:pStyle w:val="ListParagraph"/>
        <w:numPr>
          <w:ilvl w:val="0"/>
          <w:numId w:val="27"/>
        </w:numPr>
        <w:rPr>
          <w:b/>
          <w:bCs/>
          <w:lang w:eastAsia="zh-CN"/>
        </w:rPr>
      </w:pPr>
      <w:r w:rsidRPr="00667728">
        <w:rPr>
          <w:b/>
          <w:bCs/>
        </w:rPr>
        <w:t xml:space="preserve">If </w:t>
      </w:r>
      <m:oMath>
        <m:nary>
          <m:naryPr>
            <m:chr m:val="∑"/>
            <m:ctrlPr>
              <w:rPr>
                <w:rFonts w:ascii="Cambria Math" w:hAnsi="Cambria Math"/>
                <w:b/>
                <w:bCs/>
                <w:i/>
              </w:rPr>
            </m:ctrlPr>
          </m:naryPr>
          <m:sub>
            <m:r>
              <m:rPr>
                <m:sty m:val="bi"/>
              </m:rPr>
              <w:rPr>
                <w:rFonts w:ascii="Cambria Math"/>
              </w:rPr>
              <m:t>μ=0</m:t>
            </m:r>
          </m:sub>
          <m:sup>
            <m:r>
              <m:rPr>
                <m:sty m:val="bi"/>
              </m:rPr>
              <w:rPr>
                <w:rFonts w:ascii="Cambria Math"/>
              </w:rPr>
              <m:t>3</m:t>
            </m:r>
          </m:sup>
          <m:e>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e>
        </m:nary>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667728">
        <w:rPr>
          <w:b/>
          <w:bCs/>
        </w:rPr>
        <w:t>,</w:t>
      </w:r>
      <w:r w:rsidR="00013DF7">
        <w:rPr>
          <w:b/>
          <w:bCs/>
        </w:rPr>
        <w:t xml:space="preserve"> </w:t>
      </w:r>
      <w:r w:rsidRPr="00667728">
        <w:rPr>
          <w:b/>
          <w:bCs/>
        </w:rPr>
        <w:t xml:space="preserve"> </w:t>
      </w:r>
      <w:r w:rsidRPr="00667728">
        <w:rPr>
          <w:b/>
          <w:bCs/>
          <w:lang w:eastAsia="ko-KR"/>
        </w:rPr>
        <w:t xml:space="preserve">the UE is not required to monitor, on the active DL BWP of the scheduling cell, more than </w:t>
      </w:r>
      <m:oMath>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PDCCH candidates or more than </w:t>
      </w:r>
      <m:oMath>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non-overlapped CCEs per slot for each scheduled cell</w:t>
      </w:r>
      <w:r w:rsidR="00BC1530">
        <w:rPr>
          <w:b/>
          <w:bCs/>
        </w:rPr>
        <w:t xml:space="preserve"> (i.e., identical to</w:t>
      </w:r>
      <w:r w:rsidR="008E0EE9">
        <w:rPr>
          <w:b/>
          <w:bCs/>
        </w:rPr>
        <w:t xml:space="preserve"> Rel-15 text in TS 38.213</w:t>
      </w:r>
      <w:r w:rsidR="00BC1530">
        <w:rPr>
          <w:b/>
          <w:bCs/>
        </w:rPr>
        <w:t>)</w:t>
      </w:r>
      <w:r w:rsidRPr="00667728">
        <w:rPr>
          <w:b/>
          <w:bCs/>
        </w:rPr>
        <w:t>.</w:t>
      </w:r>
    </w:p>
    <w:p w14:paraId="30ED9F5D" w14:textId="0E18F4F5" w:rsidR="00746535" w:rsidRPr="00667728" w:rsidRDefault="00746535" w:rsidP="00746535">
      <w:pPr>
        <w:pStyle w:val="ListParagraph"/>
        <w:numPr>
          <w:ilvl w:val="0"/>
          <w:numId w:val="27"/>
        </w:numPr>
        <w:rPr>
          <w:b/>
          <w:bCs/>
        </w:rPr>
      </w:pPr>
      <w:r w:rsidRPr="00667728">
        <w:rPr>
          <w:b/>
          <w:bCs/>
        </w:rPr>
        <w:t xml:space="preserve">If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667728">
        <w:rPr>
          <w:b/>
          <w:bCs/>
        </w:rPr>
        <w:t xml:space="preserve">, </w:t>
      </w:r>
    </w:p>
    <w:p w14:paraId="270785BC" w14:textId="2FBD6A29" w:rsidR="00746535" w:rsidRPr="00667728" w:rsidRDefault="00746535" w:rsidP="00746535">
      <w:pPr>
        <w:pStyle w:val="ListParagraph"/>
        <w:numPr>
          <w:ilvl w:val="1"/>
          <w:numId w:val="27"/>
        </w:numPr>
        <w:rPr>
          <w:b/>
          <w:bCs/>
        </w:rPr>
      </w:pP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PDCCH,S</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source. </w:t>
      </w:r>
    </w:p>
    <w:p w14:paraId="66A233B1" w14:textId="1F29FB7D" w:rsidR="00746535" w:rsidRPr="00667728" w:rsidRDefault="00746535" w:rsidP="00746535">
      <w:pPr>
        <w:pStyle w:val="ListParagraph"/>
        <w:numPr>
          <w:ilvl w:val="1"/>
          <w:numId w:val="27"/>
        </w:numPr>
        <w:rPr>
          <w:b/>
          <w:bCs/>
        </w:rPr>
      </w:pPr>
      <w:r w:rsidRPr="00667728">
        <w:rPr>
          <w:b/>
          <w:bCs/>
        </w:rPr>
        <w:t xml:space="preserve">Furthermore, </w:t>
      </w: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PDCCH,T</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target.</w:t>
      </w:r>
    </w:p>
    <w:p w14:paraId="77A6088E" w14:textId="77777777" w:rsidR="00746535" w:rsidRPr="00D24CE9" w:rsidRDefault="00746535" w:rsidP="00746535">
      <w:r w:rsidRPr="00667728">
        <w:rPr>
          <w:b/>
          <w:bCs/>
        </w:rPr>
        <w:t xml:space="preserve">For each scheduled cell, the UE is not required to monitor on the active DL BWP </w:t>
      </w:r>
      <w:r w:rsidRPr="00667728">
        <w:rPr>
          <w:b/>
          <w:bCs/>
          <w:lang w:eastAsia="ko-KR"/>
        </w:rPr>
        <w:t xml:space="preserve">with </w:t>
      </w:r>
      <w:r w:rsidRPr="00667728">
        <w:rPr>
          <w:b/>
          <w:bCs/>
        </w:rPr>
        <w:t xml:space="preserve">SCS configuration </w:t>
      </w:r>
      <m:oMath>
        <m:r>
          <m:rPr>
            <m:sty m:val="bi"/>
          </m:rPr>
          <w:rPr>
            <w:rFonts w:ascii="Cambria Math" w:hAnsi="Cambria Math"/>
          </w:rPr>
          <m:t>μ</m:t>
        </m:r>
      </m:oMath>
      <w:r w:rsidRPr="00667728">
        <w:rPr>
          <w:b/>
          <w:bCs/>
        </w:rPr>
        <w:t xml:space="preserve"> of the scheduling cell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PDCCH candidates or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non-overlapped CCEs per slot.</w:t>
      </w:r>
    </w:p>
    <w:p w14:paraId="0FE21E86" w14:textId="77777777" w:rsidR="00F50A9F" w:rsidRPr="00E64B7F" w:rsidRDefault="00F50A9F" w:rsidP="00746535"/>
    <w:p w14:paraId="09451761" w14:textId="77777777" w:rsidR="00746535" w:rsidRDefault="00746535" w:rsidP="00746535">
      <w:pPr>
        <w:pStyle w:val="Heading2"/>
      </w:pPr>
      <w:r>
        <w:t>PDCCH Overbooking</w:t>
      </w:r>
    </w:p>
    <w:bookmarkEnd w:id="1"/>
    <w:p w14:paraId="3A9E99BD" w14:textId="77777777" w:rsidR="00746535" w:rsidRPr="00635D27" w:rsidRDefault="00746535" w:rsidP="00746535">
      <w:pPr>
        <w:tabs>
          <w:tab w:val="num" w:pos="720"/>
        </w:tabs>
        <w:rPr>
          <w:lang w:eastAsia="zh-CN"/>
        </w:rPr>
      </w:pPr>
      <w:r>
        <w:rPr>
          <w:lang w:eastAsia="zh-CN"/>
        </w:rPr>
        <w:t>PDCCH o</w:t>
      </w:r>
      <w:r w:rsidRPr="00635D27">
        <w:rPr>
          <w:lang w:eastAsia="zh-CN"/>
        </w:rPr>
        <w:t xml:space="preserve">verbooking happens when the network configures the UE with PDCCH candidates greater than the BD limits allowed by the UE. </w:t>
      </w:r>
      <w:r w:rsidRPr="00A54DFE">
        <w:rPr>
          <w:lang w:eastAsia="zh-CN"/>
        </w:rPr>
        <w:t xml:space="preserve">In Rel. 15, PDCCH overbooking is allowed on the Pcell but not </w:t>
      </w:r>
      <w:r>
        <w:rPr>
          <w:lang w:eastAsia="zh-CN"/>
        </w:rPr>
        <w:t xml:space="preserve">allowed </w:t>
      </w:r>
      <w:r w:rsidRPr="00A54DFE">
        <w:rPr>
          <w:lang w:eastAsia="zh-CN"/>
        </w:rPr>
        <w:t>on the Scell. When overbooking occurs, the</w:t>
      </w:r>
      <w:r w:rsidRPr="00635D27">
        <w:rPr>
          <w:lang w:eastAsia="zh-CN"/>
        </w:rPr>
        <w:t xml:space="preserve"> UE can determine which PDCCH candidates</w:t>
      </w:r>
      <w:r>
        <w:rPr>
          <w:lang w:eastAsia="zh-CN"/>
        </w:rPr>
        <w:t xml:space="preserve"> </w:t>
      </w:r>
      <w:r w:rsidRPr="00635D27">
        <w:rPr>
          <w:lang w:eastAsia="zh-CN"/>
        </w:rPr>
        <w:t>to monitor by using the overbooking handling rules:</w:t>
      </w:r>
    </w:p>
    <w:p w14:paraId="717CB5A8" w14:textId="77777777" w:rsidR="00746535" w:rsidRDefault="00746535" w:rsidP="00746535">
      <w:pPr>
        <w:pStyle w:val="ListParagraph"/>
        <w:numPr>
          <w:ilvl w:val="0"/>
          <w:numId w:val="27"/>
        </w:numPr>
        <w:rPr>
          <w:lang w:eastAsia="zh-CN"/>
        </w:rPr>
      </w:pPr>
      <w:r w:rsidRPr="00276B07">
        <w:rPr>
          <w:b/>
          <w:bCs/>
          <w:lang w:eastAsia="zh-CN"/>
        </w:rPr>
        <w:t xml:space="preserve">Step 1: </w:t>
      </w:r>
      <w:r w:rsidRPr="00635D27">
        <w:rPr>
          <w:lang w:eastAsia="zh-CN"/>
        </w:rPr>
        <w:t>Priority is given to the BDs required for the CSS so that is counted first.</w:t>
      </w:r>
    </w:p>
    <w:p w14:paraId="5851F19B" w14:textId="77777777" w:rsidR="00746535" w:rsidRPr="00635D27" w:rsidRDefault="00746535" w:rsidP="00746535">
      <w:pPr>
        <w:pStyle w:val="ListParagraph"/>
        <w:numPr>
          <w:ilvl w:val="0"/>
          <w:numId w:val="27"/>
        </w:numPr>
        <w:rPr>
          <w:lang w:eastAsia="zh-CN"/>
        </w:rPr>
      </w:pPr>
      <w:r w:rsidRPr="00276B07">
        <w:rPr>
          <w:b/>
          <w:bCs/>
          <w:lang w:eastAsia="zh-CN"/>
        </w:rPr>
        <w:t xml:space="preserve">Step 2: </w:t>
      </w:r>
      <w:r w:rsidRPr="00635D27">
        <w:rPr>
          <w:lang w:eastAsia="zh-CN"/>
        </w:rPr>
        <w:t xml:space="preserve">The remaining BDs are then assigned to the USS starting with the search spaces with the lowest ID until all the BDs are assigned. </w:t>
      </w:r>
      <w:r>
        <w:rPr>
          <w:lang w:eastAsia="zh-CN"/>
        </w:rPr>
        <w:t>T</w:t>
      </w:r>
      <w:r w:rsidRPr="00635D27">
        <w:rPr>
          <w:lang w:eastAsia="zh-CN"/>
        </w:rPr>
        <w:t xml:space="preserve">he PDCCH candidates that are </w:t>
      </w:r>
      <w:r>
        <w:rPr>
          <w:lang w:eastAsia="zh-CN"/>
        </w:rPr>
        <w:t xml:space="preserve">not </w:t>
      </w:r>
      <w:r w:rsidRPr="00635D27">
        <w:rPr>
          <w:lang w:eastAsia="zh-CN"/>
        </w:rPr>
        <w:t>assigned are not monitored by the UE.</w:t>
      </w:r>
    </w:p>
    <w:p w14:paraId="5AAE9FA6" w14:textId="77777777" w:rsidR="00746535" w:rsidRDefault="00746535" w:rsidP="00746535">
      <w:pPr>
        <w:rPr>
          <w:lang w:eastAsia="zh-CN"/>
        </w:rPr>
      </w:pPr>
      <w:r>
        <w:rPr>
          <w:lang w:eastAsia="zh-CN"/>
        </w:rPr>
        <w:t>The UE independently performs PDCCH monitoring at the source and target cells. There could be the following possible cases for PDCCH monitoring in a slot:</w:t>
      </w:r>
    </w:p>
    <w:p w14:paraId="782F830F" w14:textId="77777777" w:rsidR="00746535" w:rsidRPr="00520AE1" w:rsidRDefault="00746535" w:rsidP="00746535">
      <w:pPr>
        <w:pStyle w:val="ListParagraph"/>
        <w:numPr>
          <w:ilvl w:val="0"/>
          <w:numId w:val="27"/>
        </w:numPr>
        <w:rPr>
          <w:lang w:eastAsia="zh-CN"/>
        </w:rPr>
      </w:pPr>
      <w:r w:rsidRPr="00520AE1">
        <w:rPr>
          <w:lang w:eastAsia="zh-CN"/>
        </w:rPr>
        <w:t>No PDCCH overbooking at both the source and the target cells</w:t>
      </w:r>
    </w:p>
    <w:p w14:paraId="51C3DBE5" w14:textId="77777777" w:rsidR="00746535" w:rsidRPr="00520AE1" w:rsidRDefault="00746535" w:rsidP="00746535">
      <w:pPr>
        <w:pStyle w:val="ListParagraph"/>
        <w:numPr>
          <w:ilvl w:val="0"/>
          <w:numId w:val="27"/>
        </w:numPr>
        <w:rPr>
          <w:lang w:eastAsia="zh-CN"/>
        </w:rPr>
      </w:pPr>
      <w:r w:rsidRPr="00520AE1">
        <w:rPr>
          <w:lang w:eastAsia="zh-CN"/>
        </w:rPr>
        <w:t>PDCCH overbooking at the target cell only</w:t>
      </w:r>
    </w:p>
    <w:p w14:paraId="61D7CD5C" w14:textId="77777777" w:rsidR="00746535" w:rsidRPr="00520AE1" w:rsidRDefault="00746535" w:rsidP="00746535">
      <w:pPr>
        <w:pStyle w:val="ListParagraph"/>
        <w:numPr>
          <w:ilvl w:val="0"/>
          <w:numId w:val="27"/>
        </w:numPr>
        <w:rPr>
          <w:lang w:eastAsia="zh-CN"/>
        </w:rPr>
      </w:pPr>
      <w:r w:rsidRPr="00520AE1">
        <w:rPr>
          <w:lang w:eastAsia="zh-CN"/>
        </w:rPr>
        <w:t>PDCCH overbooking at the source cell only</w:t>
      </w:r>
    </w:p>
    <w:p w14:paraId="2EEE3537" w14:textId="77777777" w:rsidR="00746535" w:rsidRPr="00520AE1" w:rsidRDefault="00746535" w:rsidP="00746535">
      <w:pPr>
        <w:pStyle w:val="ListParagraph"/>
        <w:numPr>
          <w:ilvl w:val="0"/>
          <w:numId w:val="27"/>
        </w:numPr>
        <w:rPr>
          <w:lang w:eastAsia="zh-CN"/>
        </w:rPr>
      </w:pPr>
      <w:r w:rsidRPr="00520AE1">
        <w:rPr>
          <w:lang w:eastAsia="zh-CN"/>
        </w:rPr>
        <w:t>PDCCH overbooking at both source and target cells</w:t>
      </w:r>
    </w:p>
    <w:p w14:paraId="037C3CF3" w14:textId="252E206A" w:rsidR="00746535" w:rsidRDefault="00746535" w:rsidP="00746535">
      <w:pPr>
        <w:rPr>
          <w:lang w:eastAsia="zh-CN"/>
        </w:rPr>
      </w:pPr>
      <w:r>
        <w:rPr>
          <w:lang w:eastAsia="zh-CN"/>
        </w:rPr>
        <w:t xml:space="preserve">In Rel-15, the UE only performs PDCCH overbooking (if any) procedure at </w:t>
      </w:r>
      <w:r w:rsidR="0066276B">
        <w:rPr>
          <w:lang w:eastAsia="zh-CN"/>
        </w:rPr>
        <w:t>the source</w:t>
      </w:r>
      <w:r>
        <w:rPr>
          <w:lang w:eastAsia="zh-CN"/>
        </w:rPr>
        <w:t xml:space="preserve"> </w:t>
      </w:r>
      <w:r w:rsidR="00BE7C22">
        <w:rPr>
          <w:lang w:eastAsia="zh-CN"/>
        </w:rPr>
        <w:t xml:space="preserve">cells </w:t>
      </w:r>
      <w:r>
        <w:rPr>
          <w:lang w:eastAsia="zh-CN"/>
        </w:rPr>
        <w:t xml:space="preserve">only. During DAPS HO, </w:t>
      </w:r>
      <w:r w:rsidR="005415E2">
        <w:rPr>
          <w:lang w:eastAsia="zh-CN"/>
        </w:rPr>
        <w:t>the UE has separate limits on BD/CCEs for source and target cells (</w:t>
      </w:r>
      <w:r w:rsidR="005415E2" w:rsidRPr="005415E2">
        <w:rPr>
          <w:lang w:eastAsia="zh-CN"/>
        </w:rPr>
        <w:t>the total limits on BD/CCE across both source and target cells are the same as Rel-15 limits</w:t>
      </w:r>
      <w:r w:rsidR="005415E2">
        <w:rPr>
          <w:lang w:eastAsia="zh-CN"/>
        </w:rPr>
        <w:t xml:space="preserve">). Hence, </w:t>
      </w:r>
      <w:r>
        <w:rPr>
          <w:lang w:eastAsia="zh-CN"/>
        </w:rPr>
        <w:t xml:space="preserve">if </w:t>
      </w:r>
      <w:r w:rsidR="00054AE5">
        <w:rPr>
          <w:lang w:eastAsia="zh-CN"/>
        </w:rPr>
        <w:t xml:space="preserve">PDCCH overbooking happens at both </w:t>
      </w:r>
      <w:r>
        <w:rPr>
          <w:lang w:eastAsia="zh-CN"/>
        </w:rPr>
        <w:t>source and target</w:t>
      </w:r>
      <w:r w:rsidR="0066276B">
        <w:rPr>
          <w:lang w:eastAsia="zh-CN"/>
        </w:rPr>
        <w:t xml:space="preserve"> cell</w:t>
      </w:r>
      <w:r w:rsidR="00BE7C22">
        <w:rPr>
          <w:lang w:eastAsia="zh-CN"/>
        </w:rPr>
        <w:t>s</w:t>
      </w:r>
      <w:r w:rsidR="005415E2">
        <w:rPr>
          <w:lang w:eastAsia="zh-CN"/>
        </w:rPr>
        <w:t xml:space="preserve"> (i.e., the number of BDs at the source is higher than the BD limit for the source, and the number of BDs at the target is higher than the BD limit for the target)</w:t>
      </w:r>
      <w:r>
        <w:rPr>
          <w:lang w:eastAsia="zh-CN"/>
        </w:rPr>
        <w:t xml:space="preserve">, </w:t>
      </w:r>
      <w:r w:rsidR="00054AE5">
        <w:rPr>
          <w:lang w:eastAsia="zh-CN"/>
        </w:rPr>
        <w:t xml:space="preserve">requiring UE to handle overbooking at both </w:t>
      </w:r>
      <w:r w:rsidR="00137F94">
        <w:rPr>
          <w:lang w:eastAsia="zh-CN"/>
        </w:rPr>
        <w:t xml:space="preserve">source and target simultaneously </w:t>
      </w:r>
      <w:r>
        <w:rPr>
          <w:lang w:eastAsia="zh-CN"/>
        </w:rPr>
        <w:t xml:space="preserve">is beyond the </w:t>
      </w:r>
      <w:r w:rsidR="00137F94">
        <w:rPr>
          <w:lang w:eastAsia="zh-CN"/>
        </w:rPr>
        <w:t>Rel-15</w:t>
      </w:r>
      <w:r>
        <w:rPr>
          <w:lang w:eastAsia="zh-CN"/>
        </w:rPr>
        <w:t xml:space="preserve"> </w:t>
      </w:r>
      <w:r w:rsidR="00137F94">
        <w:rPr>
          <w:lang w:eastAsia="zh-CN"/>
        </w:rPr>
        <w:t xml:space="preserve">UE </w:t>
      </w:r>
      <w:r>
        <w:rPr>
          <w:lang w:eastAsia="zh-CN"/>
        </w:rPr>
        <w:t>capability</w:t>
      </w:r>
      <w:r w:rsidR="001A110A">
        <w:rPr>
          <w:lang w:eastAsia="zh-CN"/>
        </w:rPr>
        <w:t xml:space="preserve"> </w:t>
      </w:r>
      <w:r w:rsidR="004526F4">
        <w:t>when UE is configured with SCG (beside one MCG at the source and one MCG at the target) or when UE is not supporting NR-DC feature.</w:t>
      </w:r>
      <w:r>
        <w:rPr>
          <w:lang w:eastAsia="zh-CN"/>
        </w:rPr>
        <w:t xml:space="preserve"> </w:t>
      </w:r>
      <w:r w:rsidR="005415E2">
        <w:rPr>
          <w:lang w:eastAsia="zh-CN"/>
        </w:rPr>
        <w:t>T</w:t>
      </w:r>
      <w:r w:rsidR="003C4F56">
        <w:rPr>
          <w:lang w:eastAsia="zh-CN"/>
        </w:rPr>
        <w:t xml:space="preserve">o make UE complexity manageable and leverage Rel-15 UE implementation, </w:t>
      </w:r>
      <w:r>
        <w:rPr>
          <w:lang w:eastAsia="zh-CN"/>
        </w:rPr>
        <w:t>we should keep PDCCH monitorin</w:t>
      </w:r>
      <w:bookmarkStart w:id="2" w:name="_GoBack"/>
      <w:bookmarkEnd w:id="2"/>
      <w:r>
        <w:rPr>
          <w:lang w:eastAsia="zh-CN"/>
        </w:rPr>
        <w:t xml:space="preserve">g capability </w:t>
      </w:r>
      <w:r w:rsidR="00D62411">
        <w:rPr>
          <w:lang w:eastAsia="zh-CN"/>
        </w:rPr>
        <w:t xml:space="preserve">during DAPS HO </w:t>
      </w:r>
      <w:r w:rsidR="00292883">
        <w:rPr>
          <w:lang w:eastAsia="zh-CN"/>
        </w:rPr>
        <w:t>like</w:t>
      </w:r>
      <w:r>
        <w:rPr>
          <w:lang w:eastAsia="zh-CN"/>
        </w:rPr>
        <w:t xml:space="preserve"> the Rel-15 capability. Hence, we make the following proposal: </w:t>
      </w:r>
    </w:p>
    <w:p w14:paraId="503AF212" w14:textId="77777777" w:rsidR="00746535" w:rsidRDefault="00746535" w:rsidP="00746535">
      <w:pPr>
        <w:rPr>
          <w:lang w:eastAsia="zh-CN"/>
        </w:rPr>
      </w:pPr>
      <w:r w:rsidRPr="009331D2">
        <w:rPr>
          <w:b/>
          <w:bCs/>
          <w:lang w:eastAsia="zh-CN"/>
        </w:rPr>
        <w:t>Proposal</w:t>
      </w:r>
      <w:r>
        <w:rPr>
          <w:b/>
          <w:bCs/>
          <w:lang w:eastAsia="zh-CN"/>
        </w:rPr>
        <w:t xml:space="preserve"> 5</w:t>
      </w:r>
      <w:r w:rsidRPr="009331D2">
        <w:rPr>
          <w:b/>
          <w:bCs/>
          <w:lang w:eastAsia="zh-CN"/>
        </w:rPr>
        <w:t xml:space="preserve">: When a UE is configured to monitor PDCCH from source and target in a slot during DAPS HO, </w:t>
      </w:r>
      <w:r>
        <w:rPr>
          <w:b/>
          <w:bCs/>
          <w:lang w:eastAsia="zh-CN"/>
        </w:rPr>
        <w:t>the UE is not expected to be provided with PDCCH configuration leading to PDCCH overbooking at both source and target cells.</w:t>
      </w:r>
    </w:p>
    <w:p w14:paraId="0065746F" w14:textId="77777777" w:rsidR="00746535" w:rsidRDefault="00746535" w:rsidP="00746535">
      <w:pPr>
        <w:pStyle w:val="Heading1"/>
        <w:rPr>
          <w:lang w:val="en-US"/>
        </w:rPr>
      </w:pPr>
      <w:r>
        <w:t>BWP Switching</w:t>
      </w:r>
    </w:p>
    <w:p w14:paraId="4F307C46" w14:textId="77777777" w:rsidR="00746535" w:rsidRDefault="00746535" w:rsidP="00746535">
      <w:pPr>
        <w:rPr>
          <w:lang w:eastAsia="zh-CN"/>
        </w:rPr>
      </w:pPr>
      <w:r>
        <w:rPr>
          <w:lang w:eastAsia="zh-CN"/>
        </w:rPr>
        <w:t>The active BWP can be switched via DCI or RRC. When DCI-based BWP switch is performed on a single CC, depending on UE capability</w:t>
      </w:r>
      <w:r>
        <w:t xml:space="preserve"> </w:t>
      </w:r>
      <w:r>
        <w:rPr>
          <w:i/>
        </w:rPr>
        <w:t>bwp-SwitchingDelay</w:t>
      </w:r>
      <w:r>
        <w:rPr>
          <w:lang w:eastAsia="zh-CN"/>
        </w:rPr>
        <w:t>, UE shall finish BWP switch within the time duration T</w:t>
      </w:r>
      <w:r>
        <w:rPr>
          <w:vertAlign w:val="subscript"/>
          <w:lang w:eastAsia="zh-CN"/>
        </w:rPr>
        <w:t>BWPswitchDelay</w:t>
      </w:r>
      <w:r>
        <w:rPr>
          <w:lang w:eastAsia="zh-CN"/>
        </w:rPr>
        <w:t xml:space="preserve"> defined in Table 8.6.2-1 of TS 38.133 </w:t>
      </w:r>
      <w:r>
        <w:rPr>
          <w:lang w:eastAsia="zh-CN"/>
        </w:rPr>
        <w:fldChar w:fldCharType="begin"/>
      </w:r>
      <w:r>
        <w:rPr>
          <w:lang w:eastAsia="zh-CN"/>
        </w:rPr>
        <w:instrText xml:space="preserve"> REF _Ref23934789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121C5AE2" w14:textId="77777777" w:rsidR="00746535" w:rsidRDefault="00746535" w:rsidP="00746535">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46535" w14:paraId="6B700AA2" w14:textId="77777777" w:rsidTr="006C204E">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4D73C9B" w14:textId="77777777" w:rsidR="00746535" w:rsidRDefault="00746535" w:rsidP="006C204E">
            <w:pPr>
              <w:pStyle w:val="TAH"/>
              <w:rPr>
                <w:lang w:eastAsia="ko-KR"/>
              </w:rPr>
            </w:pPr>
            <w:r>
              <w:rPr>
                <w:noProof/>
                <w:lang w:val="en-US" w:eastAsia="zh-CN"/>
              </w:rPr>
              <w:drawing>
                <wp:inline distT="0" distB="0" distL="0" distR="0" wp14:anchorId="40A3B16A" wp14:editId="62D9F484">
                  <wp:extent cx="143510" cy="16129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303D0277" w14:textId="77777777" w:rsidR="00746535" w:rsidRDefault="00746535" w:rsidP="006C204E">
            <w:pPr>
              <w:pStyle w:val="TAH"/>
              <w:rPr>
                <w:lang w:eastAsia="ko-KR"/>
              </w:rPr>
            </w:pPr>
            <w:r>
              <w:rPr>
                <w:lang w:eastAsia="ko-KR"/>
              </w:rP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2F94683F" w14:textId="77777777" w:rsidR="00746535" w:rsidRDefault="00746535" w:rsidP="006C204E">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746535" w14:paraId="11BE49B7" w14:textId="77777777" w:rsidTr="006C204E">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4C936" w14:textId="77777777" w:rsidR="00746535" w:rsidRDefault="00746535" w:rsidP="006C204E">
            <w:pPr>
              <w:spacing w:after="0"/>
              <w:rPr>
                <w:rFonts w:ascii="Arial" w:hAnsi="Arial"/>
                <w:b/>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E6E0" w14:textId="77777777" w:rsidR="00746535" w:rsidRDefault="00746535" w:rsidP="006C204E">
            <w:pPr>
              <w:spacing w:after="0"/>
              <w:rPr>
                <w:rFonts w:ascii="Arial" w:hAnsi="Arial"/>
                <w:b/>
                <w:sz w:val="18"/>
                <w:lang w:val="en-GB" w:eastAsia="ko-KR"/>
              </w:rPr>
            </w:pPr>
          </w:p>
        </w:tc>
        <w:tc>
          <w:tcPr>
            <w:tcW w:w="1969" w:type="dxa"/>
            <w:tcBorders>
              <w:top w:val="single" w:sz="4" w:space="0" w:color="auto"/>
              <w:left w:val="single" w:sz="4" w:space="0" w:color="auto"/>
              <w:bottom w:val="single" w:sz="4" w:space="0" w:color="auto"/>
              <w:right w:val="single" w:sz="4" w:space="0" w:color="auto"/>
            </w:tcBorders>
            <w:hideMark/>
          </w:tcPr>
          <w:p w14:paraId="4120D313" w14:textId="77777777" w:rsidR="00746535" w:rsidRDefault="00746535" w:rsidP="006C204E">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234E667B" w14:textId="77777777" w:rsidR="00746535" w:rsidRDefault="00746535" w:rsidP="006C204E">
            <w:pPr>
              <w:pStyle w:val="TAH"/>
              <w:rPr>
                <w:vertAlign w:val="superscript"/>
                <w:lang w:eastAsia="zh-CN"/>
              </w:rPr>
            </w:pPr>
            <w:r>
              <w:rPr>
                <w:lang w:eastAsia="zh-CN"/>
              </w:rPr>
              <w:t>Type 2</w:t>
            </w:r>
            <w:r>
              <w:rPr>
                <w:vertAlign w:val="superscript"/>
                <w:lang w:eastAsia="zh-CN"/>
              </w:rPr>
              <w:t>Note 1</w:t>
            </w:r>
          </w:p>
        </w:tc>
      </w:tr>
      <w:tr w:rsidR="00746535" w14:paraId="0AE1C610"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4C1E9A77" w14:textId="77777777" w:rsidR="00746535" w:rsidRDefault="00746535" w:rsidP="006C204E">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D18AEC8" w14:textId="77777777" w:rsidR="00746535" w:rsidRDefault="00746535" w:rsidP="006C204E">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6F6098B" w14:textId="77777777" w:rsidR="00746535" w:rsidRDefault="00746535" w:rsidP="006C204E">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67D8FFFF" w14:textId="77777777" w:rsidR="00746535" w:rsidRDefault="00746535" w:rsidP="006C204E">
            <w:pPr>
              <w:pStyle w:val="TAC"/>
              <w:rPr>
                <w:lang w:eastAsia="ko-KR"/>
              </w:rPr>
            </w:pPr>
            <w:r>
              <w:rPr>
                <w:lang w:eastAsia="ko-KR"/>
              </w:rPr>
              <w:t>3</w:t>
            </w:r>
          </w:p>
        </w:tc>
      </w:tr>
      <w:tr w:rsidR="00746535" w14:paraId="4A1985BF"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127800EC" w14:textId="77777777" w:rsidR="00746535" w:rsidRDefault="00746535" w:rsidP="006C204E">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0C81E8D" w14:textId="77777777" w:rsidR="00746535" w:rsidRDefault="00746535" w:rsidP="006C204E">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848BF45" w14:textId="77777777" w:rsidR="00746535" w:rsidRDefault="00746535" w:rsidP="006C204E">
            <w:pPr>
              <w:pStyle w:val="TAC"/>
              <w:rPr>
                <w:lang w:eastAsia="ko-KR"/>
              </w:rPr>
            </w:pPr>
            <w:r>
              <w:rPr>
                <w:lang w:eastAsia="ko-KR"/>
              </w:rPr>
              <w:t>2</w:t>
            </w:r>
          </w:p>
        </w:tc>
        <w:tc>
          <w:tcPr>
            <w:tcW w:w="1969" w:type="dxa"/>
            <w:tcBorders>
              <w:top w:val="single" w:sz="4" w:space="0" w:color="auto"/>
              <w:left w:val="single" w:sz="4" w:space="0" w:color="auto"/>
              <w:bottom w:val="single" w:sz="4" w:space="0" w:color="auto"/>
              <w:right w:val="single" w:sz="4" w:space="0" w:color="auto"/>
            </w:tcBorders>
            <w:hideMark/>
          </w:tcPr>
          <w:p w14:paraId="59DE8ECF" w14:textId="77777777" w:rsidR="00746535" w:rsidRDefault="00746535" w:rsidP="006C204E">
            <w:pPr>
              <w:pStyle w:val="TAC"/>
              <w:rPr>
                <w:lang w:eastAsia="ko-KR"/>
              </w:rPr>
            </w:pPr>
            <w:r>
              <w:rPr>
                <w:lang w:eastAsia="ko-KR"/>
              </w:rPr>
              <w:t>5</w:t>
            </w:r>
          </w:p>
        </w:tc>
      </w:tr>
      <w:tr w:rsidR="00746535" w14:paraId="50C0EF8C"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502CD577" w14:textId="77777777" w:rsidR="00746535" w:rsidRDefault="00746535" w:rsidP="006C204E">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3061157" w14:textId="77777777" w:rsidR="00746535" w:rsidRDefault="00746535" w:rsidP="006C204E">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7AD43202" w14:textId="77777777" w:rsidR="00746535" w:rsidRDefault="00746535" w:rsidP="006C204E">
            <w:pPr>
              <w:pStyle w:val="TAC"/>
              <w:rPr>
                <w:lang w:eastAsia="ko-KR"/>
              </w:rPr>
            </w:pPr>
            <w:r>
              <w:rPr>
                <w:lang w:eastAsia="ko-KR"/>
              </w:rPr>
              <w:t>3</w:t>
            </w:r>
          </w:p>
        </w:tc>
        <w:tc>
          <w:tcPr>
            <w:tcW w:w="1969" w:type="dxa"/>
            <w:tcBorders>
              <w:top w:val="single" w:sz="4" w:space="0" w:color="auto"/>
              <w:left w:val="single" w:sz="4" w:space="0" w:color="auto"/>
              <w:bottom w:val="single" w:sz="4" w:space="0" w:color="auto"/>
              <w:right w:val="single" w:sz="4" w:space="0" w:color="auto"/>
            </w:tcBorders>
            <w:hideMark/>
          </w:tcPr>
          <w:p w14:paraId="398F7D26" w14:textId="77777777" w:rsidR="00746535" w:rsidRDefault="00746535" w:rsidP="006C204E">
            <w:pPr>
              <w:pStyle w:val="TAC"/>
              <w:rPr>
                <w:lang w:eastAsia="ko-KR"/>
              </w:rPr>
            </w:pPr>
            <w:r>
              <w:rPr>
                <w:lang w:eastAsia="ko-KR"/>
              </w:rPr>
              <w:t>9</w:t>
            </w:r>
          </w:p>
        </w:tc>
      </w:tr>
      <w:tr w:rsidR="00746535" w14:paraId="45A3D81F" w14:textId="77777777" w:rsidTr="006C204E">
        <w:trPr>
          <w:jc w:val="center"/>
        </w:trPr>
        <w:tc>
          <w:tcPr>
            <w:tcW w:w="649" w:type="dxa"/>
            <w:tcBorders>
              <w:top w:val="single" w:sz="4" w:space="0" w:color="auto"/>
              <w:left w:val="single" w:sz="4" w:space="0" w:color="auto"/>
              <w:bottom w:val="single" w:sz="4" w:space="0" w:color="auto"/>
              <w:right w:val="single" w:sz="4" w:space="0" w:color="auto"/>
            </w:tcBorders>
            <w:hideMark/>
          </w:tcPr>
          <w:p w14:paraId="14B2B869" w14:textId="77777777" w:rsidR="00746535" w:rsidRDefault="00746535" w:rsidP="006C204E">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75952DD" w14:textId="77777777" w:rsidR="00746535" w:rsidRDefault="00746535" w:rsidP="006C204E">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28CC9D09" w14:textId="77777777" w:rsidR="00746535" w:rsidRDefault="00746535" w:rsidP="006C204E">
            <w:pPr>
              <w:pStyle w:val="TAC"/>
              <w:rPr>
                <w:lang w:eastAsia="ko-KR"/>
              </w:rPr>
            </w:pPr>
            <w:r>
              <w:rPr>
                <w:lang w:eastAsia="ko-KR"/>
              </w:rPr>
              <w:t>6</w:t>
            </w:r>
          </w:p>
        </w:tc>
        <w:tc>
          <w:tcPr>
            <w:tcW w:w="1969" w:type="dxa"/>
            <w:tcBorders>
              <w:top w:val="single" w:sz="4" w:space="0" w:color="auto"/>
              <w:left w:val="single" w:sz="4" w:space="0" w:color="auto"/>
              <w:bottom w:val="single" w:sz="4" w:space="0" w:color="auto"/>
              <w:right w:val="single" w:sz="4" w:space="0" w:color="auto"/>
            </w:tcBorders>
            <w:hideMark/>
          </w:tcPr>
          <w:p w14:paraId="4CB13750" w14:textId="77777777" w:rsidR="00746535" w:rsidRDefault="00746535" w:rsidP="006C204E">
            <w:pPr>
              <w:pStyle w:val="TAC"/>
              <w:rPr>
                <w:lang w:eastAsia="ko-KR"/>
              </w:rPr>
            </w:pPr>
            <w:r>
              <w:rPr>
                <w:lang w:eastAsia="ko-KR"/>
              </w:rPr>
              <w:t>18</w:t>
            </w:r>
          </w:p>
        </w:tc>
      </w:tr>
      <w:tr w:rsidR="00746535" w14:paraId="157FCDF2" w14:textId="77777777" w:rsidTr="006C204E">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39A6F1DB" w14:textId="77777777" w:rsidR="00746535" w:rsidRDefault="00746535" w:rsidP="006C204E">
            <w:pPr>
              <w:pStyle w:val="TAN"/>
              <w:rPr>
                <w:lang w:eastAsia="ko-KR"/>
              </w:rPr>
            </w:pPr>
            <w:r>
              <w:rPr>
                <w:lang w:eastAsia="ko-KR"/>
              </w:rPr>
              <w:t>Note 1:</w:t>
            </w:r>
            <w:r>
              <w:rPr>
                <w:lang w:eastAsia="ko-KR"/>
              </w:rPr>
              <w:tab/>
              <w:t>Depends on UE capability.</w:t>
            </w:r>
          </w:p>
          <w:p w14:paraId="54993B2B" w14:textId="77777777" w:rsidR="00746535" w:rsidRDefault="00746535" w:rsidP="006C204E">
            <w:pPr>
              <w:pStyle w:val="TAN"/>
              <w:rPr>
                <w:lang w:eastAsia="ko-KR"/>
              </w:rPr>
            </w:pPr>
            <w:r>
              <w:rPr>
                <w:lang w:eastAsia="ko-KR"/>
              </w:rPr>
              <w:t>Note 2:</w:t>
            </w:r>
            <w:r>
              <w:rPr>
                <w:lang w:eastAsia="ko-KR"/>
              </w:rPr>
              <w:tab/>
              <w:t>If the BWP switch involves changing of SCS, the BWP switch delay is determined by the larger one between the SCS before BWP switch and the SCS after BWP switch.</w:t>
            </w:r>
          </w:p>
        </w:tc>
      </w:tr>
    </w:tbl>
    <w:p w14:paraId="630C70EA" w14:textId="77777777" w:rsidR="00746535" w:rsidRDefault="00746535" w:rsidP="00746535">
      <w:pPr>
        <w:rPr>
          <w:lang w:eastAsia="zh-CN"/>
        </w:rPr>
      </w:pPr>
    </w:p>
    <w:p w14:paraId="6F549D18" w14:textId="063597BB" w:rsidR="00746535" w:rsidRDefault="00746535" w:rsidP="00746535">
      <w:pPr>
        <w:rPr>
          <w:lang w:eastAsia="zh-CN"/>
        </w:rPr>
      </w:pPr>
      <w:r>
        <w:rPr>
          <w:lang w:eastAsia="zh-CN"/>
        </w:rPr>
        <w:t xml:space="preserve">When RRC based BWP switch is performed, the switching delay for the UE to perform BWP switch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Pr>
          <w:lang w:eastAsia="zh-CN"/>
        </w:rPr>
        <w:t xml:space="preserve"> </w:t>
      </w:r>
      <w:r>
        <w:rPr>
          <w:lang w:eastAsia="zh-CN"/>
        </w:rPr>
        <w:fldChar w:fldCharType="begin"/>
      </w:r>
      <w:r>
        <w:rPr>
          <w:lang w:eastAsia="zh-CN"/>
        </w:rPr>
        <w:instrText xml:space="preserve"> REF _Ref23934789 \r \h </w:instrText>
      </w:r>
      <w:r>
        <w:rPr>
          <w:lang w:eastAsia="zh-CN"/>
        </w:rPr>
      </w:r>
      <w:r>
        <w:rPr>
          <w:lang w:eastAsia="zh-CN"/>
        </w:rPr>
        <w:fldChar w:fldCharType="separate"/>
      </w:r>
      <w:r>
        <w:rPr>
          <w:lang w:eastAsia="zh-CN"/>
        </w:rPr>
        <w:t>[2]</w:t>
      </w:r>
      <w:r>
        <w:rPr>
          <w:lang w:eastAsia="zh-CN"/>
        </w:rPr>
        <w:fldChar w:fldCharType="end"/>
      </w:r>
      <w:r>
        <w:rPr>
          <w:lang w:eastAsia="zh-CN"/>
        </w:rPr>
        <w:t xml:space="preserve">. Hence, whenever BWP switching is performed, there is non-trivial switching latency which would be added into the HO latency. </w:t>
      </w:r>
      <w:r w:rsidR="003B7686">
        <w:rPr>
          <w:lang w:eastAsia="zh-CN"/>
        </w:rPr>
        <w:t>More importantly</w:t>
      </w:r>
      <w:r>
        <w:rPr>
          <w:lang w:eastAsia="zh-CN"/>
        </w:rPr>
        <w:t>, at least for intra-frequency HO, if the BWP switching in source and/or target is not configured properly, it might make simultaneous Rx infeasible. Hence, we make the following proposal:</w:t>
      </w:r>
    </w:p>
    <w:p w14:paraId="1C1B84A0" w14:textId="1C0EE50E" w:rsidR="00746535" w:rsidRPr="00E3001B" w:rsidRDefault="00746535" w:rsidP="00746535">
      <w:pPr>
        <w:rPr>
          <w:b/>
          <w:bCs/>
          <w:lang w:eastAsia="zh-CN"/>
        </w:rPr>
      </w:pPr>
      <w:r w:rsidRPr="00E3001B">
        <w:rPr>
          <w:b/>
          <w:bCs/>
          <w:lang w:eastAsia="zh-CN"/>
        </w:rPr>
        <w:t xml:space="preserve">Proposal </w:t>
      </w:r>
      <w:r>
        <w:rPr>
          <w:b/>
          <w:bCs/>
          <w:lang w:eastAsia="zh-CN"/>
        </w:rPr>
        <w:t>6</w:t>
      </w:r>
      <w:r w:rsidRPr="00E3001B">
        <w:rPr>
          <w:b/>
          <w:bCs/>
          <w:lang w:eastAsia="zh-CN"/>
        </w:rPr>
        <w:t xml:space="preserve">:  BWP switching should not be supported for </w:t>
      </w:r>
      <w:r w:rsidR="00A51892">
        <w:rPr>
          <w:b/>
          <w:bCs/>
          <w:lang w:eastAsia="zh-CN"/>
        </w:rPr>
        <w:t xml:space="preserve">both </w:t>
      </w:r>
      <w:r w:rsidRPr="00E3001B">
        <w:rPr>
          <w:b/>
          <w:bCs/>
          <w:lang w:eastAsia="zh-CN"/>
        </w:rPr>
        <w:t>UL</w:t>
      </w:r>
      <w:r w:rsidR="00A51892">
        <w:rPr>
          <w:b/>
          <w:bCs/>
          <w:lang w:eastAsia="zh-CN"/>
        </w:rPr>
        <w:t xml:space="preserve"> BWP</w:t>
      </w:r>
      <w:r w:rsidRPr="00E3001B">
        <w:rPr>
          <w:b/>
          <w:bCs/>
          <w:lang w:eastAsia="zh-CN"/>
        </w:rPr>
        <w:t xml:space="preserve"> and DL BWP during DAPS HO.</w:t>
      </w:r>
    </w:p>
    <w:p w14:paraId="66BBBEF8" w14:textId="3BC2A6A2" w:rsidR="00746535" w:rsidRDefault="00746535" w:rsidP="00746535">
      <w:pPr>
        <w:pStyle w:val="Heading1"/>
        <w:rPr>
          <w:lang w:val="en-US"/>
        </w:rPr>
      </w:pPr>
      <w:r>
        <w:t xml:space="preserve">Simultaneous </w:t>
      </w:r>
      <w:r w:rsidR="008E1813">
        <w:t>Connectivity</w:t>
      </w:r>
    </w:p>
    <w:p w14:paraId="4B9A2FEC" w14:textId="77777777" w:rsidR="00746535" w:rsidRDefault="00746535" w:rsidP="00746535">
      <w:pPr>
        <w:pStyle w:val="Heading2"/>
        <w:rPr>
          <w:lang w:eastAsia="zh-CN"/>
        </w:rPr>
      </w:pPr>
      <w:r>
        <w:rPr>
          <w:lang w:eastAsia="zh-CN"/>
        </w:rPr>
        <w:t>Intra-frequency HO</w:t>
      </w:r>
    </w:p>
    <w:p w14:paraId="752D45ED" w14:textId="77777777" w:rsidR="00746535" w:rsidRDefault="00746535" w:rsidP="00746535">
      <w:pPr>
        <w:rPr>
          <w:lang w:eastAsia="zh-CN"/>
        </w:rPr>
      </w:pPr>
      <w:r>
        <w:rPr>
          <w:lang w:eastAsia="zh-CN"/>
        </w:rPr>
        <w:t xml:space="preserve">For the synchronous deployments, as previously agreed in RAN1 LS reply to RAN2 </w:t>
      </w:r>
      <w:r>
        <w:rPr>
          <w:lang w:eastAsia="zh-CN"/>
        </w:rPr>
        <w:fldChar w:fldCharType="begin"/>
      </w:r>
      <w:r>
        <w:rPr>
          <w:lang w:eastAsia="zh-CN"/>
        </w:rPr>
        <w:instrText xml:space="preserve"> REF _Ref23946509 \r \h </w:instrText>
      </w:r>
      <w:r>
        <w:rPr>
          <w:lang w:eastAsia="zh-CN"/>
        </w:rPr>
      </w:r>
      <w:r>
        <w:rPr>
          <w:lang w:eastAsia="zh-CN"/>
        </w:rPr>
        <w:fldChar w:fldCharType="separate"/>
      </w:r>
      <w:r>
        <w:rPr>
          <w:lang w:eastAsia="zh-CN"/>
        </w:rPr>
        <w:t>[3]</w:t>
      </w:r>
      <w:r>
        <w:rPr>
          <w:lang w:eastAsia="zh-CN"/>
        </w:rPr>
        <w:fldChar w:fldCharType="end"/>
      </w:r>
      <w:r>
        <w:rPr>
          <w:lang w:eastAsia="zh-CN"/>
        </w:rPr>
        <w:t>, the simultaneous Rx is feasible at least if</w:t>
      </w:r>
      <w:r w:rsidRPr="00345262">
        <w:rPr>
          <w:lang w:eastAsia="zh-CN"/>
        </w:rPr>
        <w:t xml:space="preserve"> source/target bandwidth are the same and under some conditions (e.g. condition of received signal power differen</w:t>
      </w:r>
      <w:r w:rsidRPr="00295FAC">
        <w:rPr>
          <w:lang w:eastAsia="zh-CN"/>
        </w:rPr>
        <w:t>ce between source/target cells)</w:t>
      </w:r>
      <w:r>
        <w:rPr>
          <w:lang w:eastAsia="zh-CN"/>
        </w:rPr>
        <w:t xml:space="preserve">. Furthermore, </w:t>
      </w:r>
      <w:r w:rsidRPr="00295FAC">
        <w:rPr>
          <w:lang w:eastAsia="zh-CN"/>
        </w:rPr>
        <w:t>the two cells are configured for the UE with the same SCS, same waveform (i.e. CP-OFDM or DFT-s-OFDM), and same SSB center frequency. It may be possible that some UEs support simultaneous transmission and reception even if two cells are configured with different SCS.</w:t>
      </w:r>
      <w:r>
        <w:rPr>
          <w:lang w:eastAsia="zh-CN"/>
        </w:rPr>
        <w:t xml:space="preserve"> In addition, for Rel-16 mTRP, it was agreed that t</w:t>
      </w:r>
      <w:r w:rsidRPr="00345262">
        <w:rPr>
          <w:lang w:eastAsia="zh-CN"/>
        </w:rPr>
        <w:t>he UE is expected to be scheduled with the same active BWP bandwidth and the same SCS if the UE is expected to receive multiple PDSCHs simultaneously at given symbols</w:t>
      </w:r>
      <w:r>
        <w:rPr>
          <w:lang w:eastAsia="zh-CN"/>
        </w:rPr>
        <w:t xml:space="preserve">. </w:t>
      </w:r>
      <w:r w:rsidRPr="00295FAC">
        <w:rPr>
          <w:lang w:eastAsia="zh-CN"/>
        </w:rPr>
        <w:t xml:space="preserve"> </w:t>
      </w:r>
    </w:p>
    <w:tbl>
      <w:tblPr>
        <w:tblStyle w:val="TableGrid"/>
        <w:tblW w:w="0" w:type="auto"/>
        <w:tblLook w:val="04A0" w:firstRow="1" w:lastRow="0" w:firstColumn="1" w:lastColumn="0" w:noHBand="0" w:noVBand="1"/>
      </w:tblPr>
      <w:tblGrid>
        <w:gridCol w:w="9350"/>
      </w:tblGrid>
      <w:tr w:rsidR="00746535" w14:paraId="6EE9A49D" w14:textId="77777777" w:rsidTr="006C204E">
        <w:tc>
          <w:tcPr>
            <w:tcW w:w="9350" w:type="dxa"/>
          </w:tcPr>
          <w:p w14:paraId="64E08317" w14:textId="77777777" w:rsidR="00746535" w:rsidRPr="0061388F" w:rsidRDefault="00746535" w:rsidP="006C204E">
            <w:pPr>
              <w:rPr>
                <w:lang w:val="en-US" w:eastAsia="zh-CN"/>
              </w:rPr>
            </w:pPr>
            <w:r w:rsidRPr="0061388F">
              <w:rPr>
                <w:b/>
                <w:bCs/>
                <w:highlight w:val="green"/>
                <w:lang w:val="en-US" w:eastAsia="zh-CN"/>
              </w:rPr>
              <w:t>Agreement</w:t>
            </w:r>
            <w:r>
              <w:rPr>
                <w:b/>
                <w:bCs/>
                <w:lang w:val="en-US" w:eastAsia="zh-CN"/>
              </w:rPr>
              <w:t xml:space="preserve"> (RAN1#96)</w:t>
            </w:r>
          </w:p>
          <w:p w14:paraId="1411FC13" w14:textId="77777777" w:rsidR="00746535" w:rsidRPr="00737061" w:rsidRDefault="00746535" w:rsidP="006C204E">
            <w:pPr>
              <w:rPr>
                <w:sz w:val="18"/>
                <w:szCs w:val="18"/>
                <w:lang w:val="en-US" w:eastAsia="zh-CN"/>
              </w:rPr>
            </w:pPr>
            <w:r w:rsidRPr="00737061">
              <w:rPr>
                <w:sz w:val="18"/>
                <w:szCs w:val="18"/>
                <w:lang w:val="en-US" w:eastAsia="zh-CN"/>
              </w:rPr>
              <w:t xml:space="preserve">For a UE supporting multiple-PDCCH based multi-TRP/panel transmission and each PDCCH schedules one PDSCH, at least for eMBB with non-ideal backhaul, support following restrictions: </w:t>
            </w:r>
          </w:p>
          <w:p w14:paraId="11001BE7" w14:textId="77777777" w:rsidR="00746535" w:rsidRPr="00737061" w:rsidRDefault="00746535" w:rsidP="006C204E">
            <w:pPr>
              <w:numPr>
                <w:ilvl w:val="0"/>
                <w:numId w:val="26"/>
              </w:numPr>
              <w:rPr>
                <w:sz w:val="18"/>
                <w:szCs w:val="18"/>
                <w:lang w:val="en-US" w:eastAsia="zh-CN"/>
              </w:rPr>
            </w:pPr>
            <w:r w:rsidRPr="00737061">
              <w:rPr>
                <w:sz w:val="18"/>
                <w:szCs w:val="18"/>
                <w:lang w:val="en-US" w:eastAsia="zh-CN"/>
              </w:rPr>
              <w:t>The UE may be scheduled with fully/partially/non-overlapped PDSCHs at time and frequency domain by multiple PDCCHs with following restrictions:</w:t>
            </w:r>
          </w:p>
          <w:p w14:paraId="4C3B2CD5"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533BEE6"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The UE is not expected to have more than one TCI index with DMRS ports within the same CDM group for fully/partially overlapped PDSCHs </w:t>
            </w:r>
          </w:p>
          <w:p w14:paraId="7D2F3705"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Full scheduling information for receiving a PDSCH is indicated and carried only by the corresponding PDCCH.  </w:t>
            </w:r>
          </w:p>
          <w:p w14:paraId="175EC73C"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The UE is expected to be scheduled with the same active BWP bandwidth and the same SCS if the UE is expected to receive multiple PDSCHs simultaneously at given symbols.</w:t>
            </w:r>
          </w:p>
          <w:p w14:paraId="2A0E0B8F"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 xml:space="preserve">The number of active BWPs for a UE is 1 per CC </w:t>
            </w:r>
          </w:p>
          <w:p w14:paraId="77DE40B7"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FFS: PDSCH mapping type from two co-scheduled PDSCHs</w:t>
            </w:r>
          </w:p>
          <w:p w14:paraId="2465AF88"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FFS: Alignment of PRG-level grid from multiple TRPs</w:t>
            </w:r>
          </w:p>
          <w:p w14:paraId="6C0BC267" w14:textId="77777777" w:rsidR="00746535" w:rsidRPr="00737061" w:rsidRDefault="00746535" w:rsidP="006C204E">
            <w:pPr>
              <w:numPr>
                <w:ilvl w:val="1"/>
                <w:numId w:val="26"/>
              </w:numPr>
              <w:rPr>
                <w:sz w:val="18"/>
                <w:szCs w:val="18"/>
                <w:lang w:val="en-US" w:eastAsia="zh-CN"/>
              </w:rPr>
            </w:pPr>
            <w:r w:rsidRPr="00737061">
              <w:rPr>
                <w:sz w:val="18"/>
                <w:szCs w:val="18"/>
                <w:lang w:val="en-US" w:eastAsia="zh-CN"/>
              </w:rPr>
              <w:t>FFS: How to ensure the same active BWP between multiple TRPs</w:t>
            </w:r>
          </w:p>
          <w:p w14:paraId="1A2DECFF" w14:textId="77777777" w:rsidR="00746535" w:rsidRPr="0061388F" w:rsidRDefault="00746535" w:rsidP="006C204E">
            <w:pPr>
              <w:numPr>
                <w:ilvl w:val="1"/>
                <w:numId w:val="26"/>
              </w:numPr>
              <w:rPr>
                <w:lang w:val="en-US" w:eastAsia="zh-CN"/>
              </w:rPr>
            </w:pPr>
            <w:r w:rsidRPr="00737061">
              <w:rPr>
                <w:sz w:val="18"/>
                <w:szCs w:val="18"/>
                <w:lang w:val="en-US" w:eastAsia="zh-CN"/>
              </w:rPr>
              <w:t>Note that rate matching mechanisms (if need) to support multi-DCI based NCJT will be discussed separately.</w:t>
            </w:r>
          </w:p>
        </w:tc>
      </w:tr>
    </w:tbl>
    <w:p w14:paraId="145CFACC" w14:textId="77777777" w:rsidR="00746535" w:rsidRDefault="00746535" w:rsidP="00746535">
      <w:pPr>
        <w:rPr>
          <w:lang w:eastAsia="zh-CN"/>
        </w:rPr>
      </w:pPr>
    </w:p>
    <w:p w14:paraId="4E0E1CFB" w14:textId="77777777" w:rsidR="00746535" w:rsidRDefault="00746535" w:rsidP="00746535">
      <w:pPr>
        <w:rPr>
          <w:lang w:eastAsia="zh-CN"/>
        </w:rPr>
      </w:pPr>
      <w:r>
        <w:rPr>
          <w:lang w:eastAsia="zh-CN"/>
        </w:rPr>
        <w:t>To make simultaneous reception at UE feasible as well as to be consistent with mTRP agreements, we make the following proposal:</w:t>
      </w:r>
    </w:p>
    <w:p w14:paraId="0E7A9DDB" w14:textId="6C201AAE" w:rsidR="00746535" w:rsidRPr="00E3001B" w:rsidRDefault="00746535" w:rsidP="00746535">
      <w:pPr>
        <w:rPr>
          <w:b/>
          <w:bCs/>
          <w:lang w:eastAsia="zh-CN"/>
        </w:rPr>
      </w:pPr>
      <w:r w:rsidRPr="00E3001B">
        <w:rPr>
          <w:b/>
          <w:bCs/>
          <w:lang w:eastAsia="zh-CN"/>
        </w:rPr>
        <w:t>Proposal</w:t>
      </w:r>
      <w:r>
        <w:rPr>
          <w:b/>
          <w:bCs/>
          <w:lang w:eastAsia="zh-CN"/>
        </w:rPr>
        <w:t xml:space="preserve"> 7</w:t>
      </w:r>
      <w:r w:rsidRPr="00E3001B">
        <w:rPr>
          <w:b/>
          <w:bCs/>
          <w:lang w:eastAsia="zh-CN"/>
        </w:rPr>
        <w:t>: For FR1-FR1 intra-frequency handover, the active DL BWP of the target cell is the same as the active DL BWP of the source cell</w:t>
      </w:r>
      <w:r w:rsidR="0035056C">
        <w:rPr>
          <w:b/>
          <w:bCs/>
          <w:lang w:eastAsia="zh-CN"/>
        </w:rPr>
        <w:t xml:space="preserve"> to enable </w:t>
      </w:r>
      <w:r w:rsidR="00F2284D">
        <w:rPr>
          <w:b/>
          <w:bCs/>
          <w:lang w:eastAsia="zh-CN"/>
        </w:rPr>
        <w:t>simultaneous Rx</w:t>
      </w:r>
      <w:r w:rsidRPr="00E3001B">
        <w:rPr>
          <w:b/>
          <w:bCs/>
          <w:lang w:eastAsia="zh-CN"/>
        </w:rPr>
        <w:t>.</w:t>
      </w:r>
    </w:p>
    <w:p w14:paraId="110697C7" w14:textId="77777777" w:rsidR="00746535" w:rsidRDefault="00746535" w:rsidP="00746535">
      <w:pPr>
        <w:pStyle w:val="Heading2"/>
        <w:rPr>
          <w:lang w:eastAsia="zh-CN"/>
        </w:rPr>
      </w:pPr>
      <w:r>
        <w:rPr>
          <w:lang w:eastAsia="zh-CN"/>
        </w:rPr>
        <w:t>Inter-frequency Intra-band HO</w:t>
      </w:r>
    </w:p>
    <w:p w14:paraId="44F97021" w14:textId="77777777" w:rsidR="00746535" w:rsidRDefault="00746535" w:rsidP="00746535">
      <w:pPr>
        <w:rPr>
          <w:lang w:val="en-GB" w:eastAsia="zh-CN"/>
        </w:rPr>
      </w:pPr>
      <w:r>
        <w:rPr>
          <w:lang w:eastAsia="zh-CN"/>
        </w:rPr>
        <w:t xml:space="preserve">For synchronous deployments, it was agreed in </w:t>
      </w:r>
      <w:r>
        <w:rPr>
          <w:lang w:eastAsia="zh-CN"/>
        </w:rPr>
        <w:fldChar w:fldCharType="begin"/>
      </w:r>
      <w:r>
        <w:rPr>
          <w:lang w:eastAsia="zh-CN"/>
        </w:rPr>
        <w:instrText xml:space="preserve"> REF _Ref23946509 \r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simultaneous Rx is feasible for UEs </w:t>
      </w:r>
      <w:r w:rsidRPr="00DA3FD5">
        <w:rPr>
          <w:lang w:val="en-GB" w:eastAsia="zh-CN"/>
        </w:rPr>
        <w:t>supporting intra-band DL CA on frequencies which would be supported for CA serving cells.</w:t>
      </w:r>
      <w:r>
        <w:rPr>
          <w:lang w:val="en-GB" w:eastAsia="zh-CN"/>
        </w:rPr>
        <w:t xml:space="preserve"> Furthermore, s</w:t>
      </w:r>
      <w:r w:rsidRPr="00DA3FD5">
        <w:rPr>
          <w:lang w:val="en-GB" w:eastAsia="zh-CN"/>
        </w:rPr>
        <w:t xml:space="preserve">imultaneous reception from two cell may be feasible if the SCS is the same between the two cells. For UEs that support different SCS in CA (i.e. </w:t>
      </w:r>
      <w:r w:rsidRPr="00DA3FD5">
        <w:rPr>
          <w:i/>
          <w:iCs/>
          <w:lang w:val="en-GB" w:eastAsia="zh-CN"/>
        </w:rPr>
        <w:t>supportedSubCarrierSpacingDL</w:t>
      </w:r>
      <w:r w:rsidRPr="00DA3FD5">
        <w:rPr>
          <w:lang w:val="en-GB" w:eastAsia="zh-CN"/>
        </w:rPr>
        <w:t xml:space="preserve"> capability), simultaneous reception may be feasible even if the SCS of the two cells are different.</w:t>
      </w:r>
    </w:p>
    <w:p w14:paraId="304F7CBA" w14:textId="77777777" w:rsidR="00746535" w:rsidRDefault="00746535" w:rsidP="00746535">
      <w:pPr>
        <w:rPr>
          <w:lang w:eastAsia="zh-CN"/>
        </w:rPr>
      </w:pPr>
      <w:r>
        <w:rPr>
          <w:lang w:val="en-GB" w:eastAsia="zh-CN"/>
        </w:rPr>
        <w:t xml:space="preserve">The feasibility assumes that UE can support intra-band DL CA. Hence, to make CA possible, the bandwidth of the source and target cells should be sufficiently separated. </w:t>
      </w:r>
    </w:p>
    <w:p w14:paraId="7470C422" w14:textId="2036BB14" w:rsidR="00746535" w:rsidRDefault="00746535" w:rsidP="00746535">
      <w:pPr>
        <w:rPr>
          <w:b/>
          <w:bCs/>
          <w:lang w:eastAsia="zh-CN"/>
        </w:rPr>
      </w:pPr>
      <w:r w:rsidRPr="00E3001B">
        <w:rPr>
          <w:b/>
          <w:bCs/>
          <w:lang w:eastAsia="zh-CN"/>
        </w:rPr>
        <w:t>Proposal</w:t>
      </w:r>
      <w:r>
        <w:rPr>
          <w:b/>
          <w:bCs/>
          <w:lang w:eastAsia="zh-CN"/>
        </w:rPr>
        <w:t xml:space="preserve"> 8</w:t>
      </w:r>
      <w:r w:rsidRPr="00E3001B">
        <w:rPr>
          <w:b/>
          <w:bCs/>
          <w:lang w:eastAsia="zh-CN"/>
        </w:rPr>
        <w:t>: For the synchronous case with FR1-FR1 inter-frequency intra-band HO, the active DL BWP of the target cell does not overlap with the active DL BWP of the source cell</w:t>
      </w:r>
      <w:r w:rsidR="00F2284D">
        <w:rPr>
          <w:b/>
          <w:bCs/>
          <w:lang w:eastAsia="zh-CN"/>
        </w:rPr>
        <w:t xml:space="preserve"> to enable simultaneous Rx</w:t>
      </w:r>
      <w:r w:rsidRPr="00E3001B">
        <w:rPr>
          <w:b/>
          <w:bCs/>
          <w:lang w:eastAsia="zh-CN"/>
        </w:rPr>
        <w:t>.</w:t>
      </w:r>
    </w:p>
    <w:p w14:paraId="42DDB4E8" w14:textId="1E47C829" w:rsidR="00BA356E" w:rsidRDefault="00BA356E" w:rsidP="00BA356E">
      <w:pPr>
        <w:pStyle w:val="Heading1"/>
        <w:rPr>
          <w:lang w:val="en-US"/>
        </w:rPr>
      </w:pPr>
      <w:bookmarkStart w:id="3" w:name="_Ref24105971"/>
      <w:r>
        <w:t xml:space="preserve">Multi-TRP </w:t>
      </w:r>
      <w:r w:rsidR="00F07053">
        <w:t>during</w:t>
      </w:r>
      <w:r>
        <w:t xml:space="preserve"> DAPS-based HO</w:t>
      </w:r>
      <w:bookmarkEnd w:id="3"/>
    </w:p>
    <w:p w14:paraId="4E71FF59" w14:textId="5E0FD123" w:rsidR="00BA356E" w:rsidRDefault="00BA356E" w:rsidP="00A62DC0">
      <w:r>
        <w:t xml:space="preserve">When handover occurs, the UE may have </w:t>
      </w:r>
      <w:r w:rsidR="00C545E2">
        <w:t>m</w:t>
      </w:r>
      <w:r>
        <w:t xml:space="preserve">TRP operation running in the source cell. There could be multiple ways to deal with ongoing CA/multi-TRP operations during handover e.g., the operation may be partially/completely deactivated, or the operation remains unchanged. From our perspectives, RAN1 should </w:t>
      </w:r>
      <w:r w:rsidR="00D84CD2">
        <w:t xml:space="preserve">have some </w:t>
      </w:r>
      <w:r>
        <w:t>discuss</w:t>
      </w:r>
      <w:r w:rsidR="00D84CD2">
        <w:t>ion and clarification on</w:t>
      </w:r>
      <w:r w:rsidR="00A62DC0">
        <w:t xml:space="preserve"> whether</w:t>
      </w:r>
      <w:r w:rsidR="00D84CD2">
        <w:t xml:space="preserve"> </w:t>
      </w:r>
      <w:r w:rsidR="00D84CD2" w:rsidRPr="00D84CD2">
        <w:t>mTRP operation is supported during DAPS HO</w:t>
      </w:r>
      <w:r w:rsidR="00D84CD2">
        <w:t xml:space="preserve"> or not.</w:t>
      </w:r>
    </w:p>
    <w:p w14:paraId="065DD5B9" w14:textId="4F9C6FC2" w:rsidR="00BA356E" w:rsidRDefault="00BA356E" w:rsidP="00BA356E">
      <w:pPr>
        <w:rPr>
          <w:b/>
        </w:rPr>
      </w:pPr>
      <w:bookmarkStart w:id="4" w:name="_Hlk20834743"/>
      <w:r w:rsidRPr="00C67790">
        <w:rPr>
          <w:b/>
        </w:rPr>
        <w:t xml:space="preserve">Proposal </w:t>
      </w:r>
      <w:r w:rsidR="007104FB" w:rsidRPr="00C67790">
        <w:rPr>
          <w:b/>
        </w:rPr>
        <w:t>9</w:t>
      </w:r>
      <w:r w:rsidRPr="00C67790">
        <w:rPr>
          <w:b/>
        </w:rPr>
        <w:t>:</w:t>
      </w:r>
      <w:r w:rsidR="00F07053" w:rsidRPr="00C67790">
        <w:rPr>
          <w:b/>
        </w:rPr>
        <w:t xml:space="preserve"> </w:t>
      </w:r>
      <w:r w:rsidR="004C716B" w:rsidRPr="00C67790">
        <w:rPr>
          <w:b/>
        </w:rPr>
        <w:t xml:space="preserve">RAN1 </w:t>
      </w:r>
      <w:r w:rsidR="0066446C">
        <w:rPr>
          <w:b/>
        </w:rPr>
        <w:t xml:space="preserve">should </w:t>
      </w:r>
      <w:r w:rsidR="004C716B" w:rsidRPr="00C67790">
        <w:rPr>
          <w:b/>
        </w:rPr>
        <w:t>discuss</w:t>
      </w:r>
      <w:r w:rsidR="00951051">
        <w:rPr>
          <w:b/>
        </w:rPr>
        <w:t xml:space="preserve"> </w:t>
      </w:r>
      <w:r w:rsidR="004C716B" w:rsidRPr="00C67790">
        <w:rPr>
          <w:b/>
        </w:rPr>
        <w:t xml:space="preserve">whether </w:t>
      </w:r>
      <w:r w:rsidR="00C545E2" w:rsidRPr="00C67790">
        <w:rPr>
          <w:b/>
        </w:rPr>
        <w:t xml:space="preserve">mTRP operation </w:t>
      </w:r>
      <w:r w:rsidR="00951051">
        <w:rPr>
          <w:b/>
        </w:rPr>
        <w:t>should be</w:t>
      </w:r>
      <w:r w:rsidR="00C545E2" w:rsidRPr="00C67790">
        <w:rPr>
          <w:b/>
        </w:rPr>
        <w:t xml:space="preserve"> supported during DAPS HO</w:t>
      </w:r>
      <w:r w:rsidRPr="00C67790">
        <w:rPr>
          <w:b/>
        </w:rPr>
        <w:t>.</w:t>
      </w:r>
      <w:bookmarkEnd w:id="4"/>
    </w:p>
    <w:p w14:paraId="25214104" w14:textId="77777777" w:rsidR="00746535" w:rsidRPr="007B31BC" w:rsidRDefault="00746535" w:rsidP="00746535">
      <w:pPr>
        <w:pStyle w:val="Heading1"/>
        <w:rPr>
          <w:bCs/>
        </w:rPr>
      </w:pPr>
      <w:r w:rsidRPr="007B31BC">
        <w:rPr>
          <w:lang w:val="en-US"/>
        </w:rPr>
        <w:t xml:space="preserve">Conclusion </w:t>
      </w:r>
    </w:p>
    <w:p w14:paraId="07C80941" w14:textId="1EBAB8D4" w:rsidR="00746535" w:rsidRDefault="00746535" w:rsidP="00746535">
      <w:pPr>
        <w:rPr>
          <w:lang w:val="en-GB"/>
        </w:rPr>
      </w:pPr>
      <w:r>
        <w:rPr>
          <w:lang w:val="en-GB"/>
        </w:rPr>
        <w:t>Th</w:t>
      </w:r>
      <w:r w:rsidR="00DB531B">
        <w:rPr>
          <w:lang w:val="en-GB"/>
        </w:rPr>
        <w:t>e</w:t>
      </w:r>
      <w:r>
        <w:rPr>
          <w:lang w:val="en-GB"/>
        </w:rPr>
        <w:t xml:space="preserve"> contribution provides our </w:t>
      </w:r>
      <w:r w:rsidR="00DB531B">
        <w:rPr>
          <w:lang w:val="en-GB"/>
        </w:rPr>
        <w:t>view</w:t>
      </w:r>
      <w:r>
        <w:rPr>
          <w:lang w:val="en-GB"/>
        </w:rPr>
        <w:t xml:space="preserve"> on </w:t>
      </w:r>
      <w:r w:rsidR="00DB531B">
        <w:rPr>
          <w:lang w:val="en-GB"/>
        </w:rPr>
        <w:t xml:space="preserve">remaining </w:t>
      </w:r>
      <w:r>
        <w:t xml:space="preserve">physical layer aspects to support </w:t>
      </w:r>
      <w:r>
        <w:rPr>
          <w:lang w:eastAsia="zh-CN"/>
        </w:rPr>
        <w:t>DAPS handover</w:t>
      </w:r>
      <w:r>
        <w:rPr>
          <w:lang w:val="en-GB"/>
        </w:rPr>
        <w:t xml:space="preserve">. </w:t>
      </w:r>
      <w:r w:rsidR="00CC0B59">
        <w:rPr>
          <w:lang w:val="en-GB"/>
        </w:rPr>
        <w:t>More specifically</w:t>
      </w:r>
      <w:r>
        <w:rPr>
          <w:lang w:val="en-GB"/>
        </w:rPr>
        <w:t xml:space="preserve">, </w:t>
      </w:r>
      <w:r w:rsidR="00C71211">
        <w:rPr>
          <w:lang w:val="en-GB"/>
        </w:rPr>
        <w:t xml:space="preserve">we have made </w:t>
      </w:r>
      <w:r>
        <w:rPr>
          <w:lang w:val="en-GB"/>
        </w:rPr>
        <w:t>the following proposals:</w:t>
      </w:r>
    </w:p>
    <w:p w14:paraId="50B4CAC4" w14:textId="77777777" w:rsidR="006B0E0C" w:rsidRDefault="006B0E0C" w:rsidP="006B0E0C">
      <w:pPr>
        <w:rPr>
          <w:b/>
          <w:bCs/>
          <w:lang w:eastAsia="zh-CN"/>
        </w:rPr>
      </w:pPr>
      <w:bookmarkStart w:id="5" w:name="_Hlk23927392"/>
      <w:r w:rsidRPr="00667728">
        <w:rPr>
          <w:b/>
          <w:bCs/>
          <w:lang w:eastAsia="zh-CN"/>
        </w:rPr>
        <w:t xml:space="preserve">Proposal 1: When UE is configured to monitor PDCCH from source and target in a slot during DAPS HO, the UE </w:t>
      </w:r>
      <w:r>
        <w:rPr>
          <w:b/>
          <w:bCs/>
          <w:lang w:eastAsia="zh-CN"/>
        </w:rPr>
        <w:t xml:space="preserve">independently </w:t>
      </w:r>
      <w:r w:rsidRPr="00667728">
        <w:rPr>
          <w:b/>
          <w:bCs/>
          <w:lang w:eastAsia="zh-CN"/>
        </w:rPr>
        <w:t xml:space="preserve">determines the PDCCH monitoring </w:t>
      </w:r>
      <w:r>
        <w:rPr>
          <w:b/>
          <w:bCs/>
          <w:lang w:eastAsia="zh-CN"/>
        </w:rPr>
        <w:t>limits</w:t>
      </w:r>
      <w:r w:rsidRPr="00667728">
        <w:rPr>
          <w:b/>
          <w:bCs/>
          <w:lang w:eastAsia="zh-CN"/>
        </w:rPr>
        <w:t xml:space="preserve"> for source and target cells.</w:t>
      </w:r>
      <w:r>
        <w:rPr>
          <w:b/>
          <w:bCs/>
          <w:lang w:eastAsia="zh-CN"/>
        </w:rPr>
        <w:t xml:space="preserve"> Furthermore, the total limits on BD/CCE across both source and target cells are the same as Rel-15 limits.</w:t>
      </w:r>
      <w:r w:rsidRPr="00667728">
        <w:rPr>
          <w:b/>
          <w:bCs/>
          <w:lang w:eastAsia="zh-CN"/>
        </w:rPr>
        <w:t xml:space="preserve"> </w:t>
      </w:r>
    </w:p>
    <w:p w14:paraId="39947441" w14:textId="77777777" w:rsidR="00746ABA" w:rsidRPr="00320EA2" w:rsidRDefault="00746ABA" w:rsidP="00746ABA">
      <w:pPr>
        <w:rPr>
          <w:b/>
          <w:bCs/>
        </w:rPr>
      </w:pPr>
      <w:r w:rsidRPr="00320EA2">
        <w:rPr>
          <w:b/>
          <w:bCs/>
        </w:rPr>
        <w:t xml:space="preserve">Proposal 2: </w:t>
      </w:r>
      <w:r>
        <w:rPr>
          <w:b/>
          <w:bCs/>
          <w:lang w:eastAsia="zh-CN"/>
        </w:rPr>
        <w:t>The determination of</w:t>
      </w:r>
      <w:r w:rsidRPr="00320EA2">
        <w:rPr>
          <w:b/>
          <w:bCs/>
          <w:lang w:eastAsia="zh-CN"/>
        </w:rPr>
        <w:t xml:space="preserve"> total limit for BD/CCE</w:t>
      </w:r>
      <w:r>
        <w:rPr>
          <w:b/>
          <w:bCs/>
          <w:lang w:eastAsia="zh-CN"/>
        </w:rPr>
        <w:t xml:space="preserve"> in a slot</w:t>
      </w:r>
      <w:r w:rsidRPr="00320EA2">
        <w:rPr>
          <w:b/>
          <w:bCs/>
          <w:lang w:eastAsia="zh-CN"/>
        </w:rPr>
        <w:t xml:space="preserve"> </w:t>
      </w:r>
      <w:r>
        <w:rPr>
          <w:b/>
          <w:bCs/>
          <w:lang w:eastAsia="zh-CN"/>
        </w:rPr>
        <w:t>is</w:t>
      </w:r>
      <w:r w:rsidRPr="00320EA2">
        <w:rPr>
          <w:b/>
          <w:bCs/>
          <w:lang w:eastAsia="zh-CN"/>
        </w:rPr>
        <w:t xml:space="preserve"> based on</w:t>
      </w:r>
      <w:r w:rsidRPr="00320EA2">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320EA2">
        <w:rPr>
          <w:b/>
          <w:bCs/>
        </w:rPr>
        <w:t xml:space="preserve"> </w:t>
      </w:r>
      <w:r>
        <w:rPr>
          <w:b/>
          <w:bCs/>
        </w:rPr>
        <w:t>(</w:t>
      </w:r>
      <w:r w:rsidRPr="00320EA2">
        <w:rPr>
          <w:b/>
          <w:bCs/>
          <w:lang w:eastAsia="zh-CN"/>
        </w:rPr>
        <w:t xml:space="preserve">described in </w:t>
      </w:r>
      <w:r>
        <w:rPr>
          <w:b/>
          <w:bCs/>
          <w:lang w:eastAsia="zh-CN"/>
        </w:rPr>
        <w:t>S</w:t>
      </w:r>
      <w:r w:rsidRPr="00320EA2">
        <w:rPr>
          <w:b/>
          <w:bCs/>
          <w:lang w:eastAsia="zh-CN"/>
        </w:rPr>
        <w:t>ubclause 10 in TS38.213</w:t>
      </w:r>
      <w:r>
        <w:rPr>
          <w:b/>
          <w:bCs/>
          <w:lang w:eastAsia="zh-CN"/>
        </w:rPr>
        <w:t>) that is shared for the source and target cells</w:t>
      </w:r>
      <w:r w:rsidRPr="00320EA2">
        <w:rPr>
          <w:b/>
          <w:bCs/>
          <w:lang w:eastAsia="zh-CN"/>
        </w:rPr>
        <w:t>.</w:t>
      </w:r>
    </w:p>
    <w:p w14:paraId="0F3CB34A" w14:textId="77777777" w:rsidR="00746ABA" w:rsidRPr="00342965" w:rsidRDefault="00746ABA" w:rsidP="00746ABA">
      <w:pPr>
        <w:rPr>
          <w:b/>
          <w:bCs/>
        </w:rPr>
      </w:pPr>
      <w:r w:rsidRPr="00DD3B47">
        <w:rPr>
          <w:b/>
          <w:bCs/>
        </w:rPr>
        <w:t xml:space="preserve">Proposal 3: Partition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into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w:t>
      </w:r>
      <w:r w:rsidRPr="00DD3B47">
        <w:rPr>
          <w:b/>
          <w:bCs/>
          <w:lang w:eastAsia="zh-CN"/>
        </w:rPr>
        <w:t xml:space="preserve">and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DD3B47">
        <w:rPr>
          <w:b/>
          <w:bCs/>
        </w:rPr>
        <w:t xml:space="preserve"> for source and target cells respectively such that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cap</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Pr>
          <w:b/>
          <w:bCs/>
        </w:rPr>
        <w:t xml:space="preserve"> when determining BD/CCE limit for source and target cells for the </w:t>
      </w:r>
      <w:r w:rsidRPr="00CA785A">
        <w:rPr>
          <w:b/>
          <w:bCs/>
        </w:rPr>
        <w:t xml:space="preserve">case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342965">
        <w:rPr>
          <w:b/>
          <w:bCs/>
        </w:rPr>
        <w:t>.</w:t>
      </w:r>
    </w:p>
    <w:p w14:paraId="03DDE831" w14:textId="77777777" w:rsidR="00746ABA" w:rsidRPr="00667728" w:rsidRDefault="00746ABA" w:rsidP="00746ABA">
      <w:pPr>
        <w:rPr>
          <w:b/>
          <w:bCs/>
          <w:lang w:eastAsia="zh-CN"/>
        </w:rPr>
      </w:pPr>
      <w:r w:rsidRPr="00667728">
        <w:rPr>
          <w:b/>
          <w:bCs/>
          <w:lang w:eastAsia="zh-CN"/>
        </w:rPr>
        <w:t>Proposal</w:t>
      </w:r>
      <w:r>
        <w:rPr>
          <w:b/>
          <w:bCs/>
          <w:lang w:eastAsia="zh-CN"/>
        </w:rPr>
        <w:t xml:space="preserve"> 4</w:t>
      </w:r>
      <w:r w:rsidRPr="00667728">
        <w:rPr>
          <w:b/>
          <w:bCs/>
          <w:lang w:eastAsia="zh-CN"/>
        </w:rPr>
        <w:t xml:space="preserve">: </w:t>
      </w:r>
      <w:r w:rsidRPr="00667728">
        <w:rPr>
          <w:b/>
          <w:bCs/>
          <w:lang w:eastAsia="ko-KR"/>
        </w:rPr>
        <w:t xml:space="preserve">When a UE </w:t>
      </w:r>
      <w:r w:rsidRPr="00667728">
        <w:rPr>
          <w:b/>
          <w:bCs/>
        </w:rPr>
        <w:t>is configured with</w:t>
      </w:r>
      <w:r>
        <w:rPr>
          <w:b/>
          <w:bCs/>
        </w:rPr>
        <w:t xml:space="preserv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hAnsi="Cambria Math"/>
          </w:rPr>
          <m:t>μ</m:t>
        </m:r>
      </m:oMath>
      <w:r w:rsidRPr="00667728">
        <w:rPr>
          <w:b/>
          <w:bCs/>
        </w:rPr>
        <w:t xml:space="preserve"> at the source and with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with DL BWPs having SCS configuration </w:t>
      </w:r>
      <m:oMath>
        <m:r>
          <m:rPr>
            <m:sty m:val="bi"/>
          </m:rPr>
          <w:rPr>
            <w:rFonts w:ascii="Cambria Math"/>
          </w:rPr>
          <m:t>μ</m:t>
        </m:r>
      </m:oMath>
      <w:r w:rsidRPr="00667728">
        <w:rPr>
          <w:b/>
          <w:bCs/>
        </w:rPr>
        <w:t xml:space="preserve"> at the target,</w:t>
      </w:r>
    </w:p>
    <w:p w14:paraId="73214988" w14:textId="77777777" w:rsidR="00746ABA" w:rsidRPr="00667728" w:rsidRDefault="00746ABA" w:rsidP="00746ABA">
      <w:pPr>
        <w:pStyle w:val="ListParagraph"/>
        <w:numPr>
          <w:ilvl w:val="0"/>
          <w:numId w:val="27"/>
        </w:numPr>
        <w:rPr>
          <w:b/>
          <w:bCs/>
          <w:lang w:eastAsia="zh-CN"/>
        </w:rPr>
      </w:pPr>
      <w:r w:rsidRPr="00667728">
        <w:rPr>
          <w:b/>
          <w:bCs/>
        </w:rPr>
        <w:t xml:space="preserve">If </w:t>
      </w:r>
      <m:oMath>
        <m:nary>
          <m:naryPr>
            <m:chr m:val="∑"/>
            <m:ctrlPr>
              <w:rPr>
                <w:rFonts w:ascii="Cambria Math" w:hAnsi="Cambria Math"/>
                <w:b/>
                <w:bCs/>
                <w:i/>
              </w:rPr>
            </m:ctrlPr>
          </m:naryPr>
          <m:sub>
            <m:r>
              <m:rPr>
                <m:sty m:val="bi"/>
              </m:rPr>
              <w:rPr>
                <w:rFonts w:ascii="Cambria Math"/>
              </w:rPr>
              <m:t>μ=0</m:t>
            </m:r>
          </m:sub>
          <m:sup>
            <m:r>
              <m:rPr>
                <m:sty m:val="bi"/>
              </m:rPr>
              <w:rPr>
                <w:rFonts w:ascii="Cambria Math"/>
              </w:rPr>
              <m:t>3</m:t>
            </m:r>
          </m:sup>
          <m:e>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e>
        </m:nary>
        <m:r>
          <m:rPr>
            <m:sty m:val="bi"/>
          </m:rPr>
          <w:rPr>
            <w:rFonts w:ascii="Cambria Math"/>
          </w:rPr>
          <m:t>≤</m:t>
        </m:r>
        <m:sSubSup>
          <m:sSubSupPr>
            <m:ctrlPr>
              <w:rPr>
                <w:rFonts w:ascii="Cambria Math" w:hAnsi="Cambria Math"/>
                <w:b/>
                <w:bCs/>
                <w:i/>
              </w:rPr>
            </m:ctrlPr>
          </m:sSubSupPr>
          <m:e>
            <m:r>
              <m:rPr>
                <m:sty m:val="bi"/>
              </m:rPr>
              <w:rPr>
                <w:rFonts w:ascii="Cambria Math"/>
              </w:rPr>
              <m:t>N</m:t>
            </m:r>
          </m:e>
          <m:sub>
            <m:r>
              <m:rPr>
                <m:nor/>
              </m:rPr>
              <w:rPr>
                <w:rFonts w:ascii="Cambria Math"/>
                <w:b/>
                <w:bCs/>
              </w:rPr>
              <m:t>cells</m:t>
            </m:r>
            <m:ctrlPr>
              <w:rPr>
                <w:rFonts w:ascii="Cambria Math" w:hAnsi="Cambria Math"/>
                <w:b/>
                <w:bCs/>
              </w:rPr>
            </m:ctrlPr>
          </m:sub>
          <m:sup>
            <m:r>
              <m:rPr>
                <m:nor/>
              </m:rPr>
              <w:rPr>
                <w:rFonts w:ascii="Cambria Math"/>
                <w:b/>
                <w:bCs/>
              </w:rPr>
              <m:t>cap</m:t>
            </m:r>
            <m:ctrlPr>
              <w:rPr>
                <w:rFonts w:ascii="Cambria Math" w:hAnsi="Cambria Math"/>
                <w:b/>
                <w:bCs/>
              </w:rPr>
            </m:ctrlPr>
          </m:sup>
        </m:sSubSup>
      </m:oMath>
      <w:r w:rsidRPr="00667728">
        <w:rPr>
          <w:b/>
          <w:bCs/>
        </w:rPr>
        <w:t>,</w:t>
      </w:r>
      <w:r>
        <w:rPr>
          <w:b/>
          <w:bCs/>
        </w:rPr>
        <w:t xml:space="preserve"> </w:t>
      </w:r>
      <w:r w:rsidRPr="00667728">
        <w:rPr>
          <w:b/>
          <w:bCs/>
        </w:rPr>
        <w:t xml:space="preserve"> </w:t>
      </w:r>
      <w:r w:rsidRPr="00667728">
        <w:rPr>
          <w:b/>
          <w:bCs/>
          <w:lang w:eastAsia="ko-KR"/>
        </w:rPr>
        <w:t xml:space="preserve">the UE is not required to monitor, on the active DL BWP of the scheduling cell, more than </w:t>
      </w:r>
      <m:oMath>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PDCCH candidates or more than </w:t>
      </w:r>
      <m:oMath>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oMath>
      <w:r w:rsidRPr="00667728">
        <w:rPr>
          <w:b/>
          <w:bCs/>
        </w:rPr>
        <w:t xml:space="preserve"> non-overlapped CCEs per slot for each scheduled cell</w:t>
      </w:r>
      <w:r>
        <w:rPr>
          <w:b/>
          <w:bCs/>
        </w:rPr>
        <w:t xml:space="preserve"> (i.e., identical to Rel-15 text in TS 38.213)</w:t>
      </w:r>
      <w:r w:rsidRPr="00667728">
        <w:rPr>
          <w:b/>
          <w:bCs/>
        </w:rPr>
        <w:t>.</w:t>
      </w:r>
    </w:p>
    <w:p w14:paraId="5F0EED47" w14:textId="77777777" w:rsidR="00746ABA" w:rsidRPr="00667728" w:rsidRDefault="00746ABA" w:rsidP="00746ABA">
      <w:pPr>
        <w:pStyle w:val="ListParagraph"/>
        <w:numPr>
          <w:ilvl w:val="0"/>
          <w:numId w:val="27"/>
        </w:numPr>
        <w:rPr>
          <w:b/>
          <w:bCs/>
        </w:rPr>
      </w:pPr>
      <w:r w:rsidRPr="00667728">
        <w:rPr>
          <w:b/>
          <w:bCs/>
        </w:rPr>
        <w:t xml:space="preserve">If </w:t>
      </w:r>
      <m:oMath>
        <m:nary>
          <m:naryPr>
            <m:chr m:val="∑"/>
            <m:ctrlPr>
              <w:rPr>
                <w:rFonts w:ascii="Cambria Math" w:hAnsi="Cambria Math"/>
                <w:b/>
                <w:bCs/>
                <w:i/>
              </w:rPr>
            </m:ctrlPr>
          </m:naryPr>
          <m:sub>
            <m:r>
              <m:rPr>
                <m:sty m:val="bi"/>
              </m:rPr>
              <w:rPr>
                <w:rFonts w:ascii="Cambria Math" w:hAnsi="Cambria Math"/>
              </w:rPr>
              <m:t>μ=0</m:t>
            </m:r>
          </m:sub>
          <m:sup>
            <m:r>
              <m:rPr>
                <m:sty m:val="bi"/>
              </m:rPr>
              <w:rPr>
                <w:rFonts w:ascii="Cambria Math" w:hAnsi="Cambria Math"/>
              </w:rPr>
              <m:t>3</m:t>
            </m:r>
          </m:sup>
          <m:e>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DL,</m:t>
                </m:r>
                <m:r>
                  <m:rPr>
                    <m:sty m:val="bi"/>
                  </m:rPr>
                  <w:rPr>
                    <w:rFonts w:ascii="Cambria Math" w:hAnsi="Cambria Math"/>
                  </w:rPr>
                  <m:t>μ</m:t>
                </m:r>
                <m:ctrlPr>
                  <w:rPr>
                    <w:rFonts w:ascii="Cambria Math" w:hAnsi="Cambria Math"/>
                    <w:b/>
                    <w:bCs/>
                  </w:rPr>
                </m:ctrlPr>
              </m:sup>
            </m:sSubSup>
          </m:e>
        </m:nary>
        <m:r>
          <m:rPr>
            <m:sty m:val="bi"/>
          </m:rPr>
          <w:rPr>
            <w:rFonts w:ascii="Cambria Math" w:hAnsi="Cambria Math"/>
          </w:rPr>
          <m:t>&gt;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cells</m:t>
            </m:r>
            <m:ctrlPr>
              <w:rPr>
                <w:rFonts w:ascii="Cambria Math" w:hAnsi="Cambria Math"/>
                <w:b/>
                <w:bCs/>
              </w:rPr>
            </m:ctrlPr>
          </m:sub>
          <m:sup>
            <m:r>
              <m:rPr>
                <m:nor/>
              </m:rPr>
              <w:rPr>
                <w:rFonts w:ascii="Cambria Math" w:hAnsi="Cambria Math"/>
                <w:b/>
                <w:bCs/>
              </w:rPr>
              <m:t>cap</m:t>
            </m:r>
            <m:ctrlPr>
              <w:rPr>
                <w:rFonts w:ascii="Cambria Math" w:hAnsi="Cambria Math"/>
                <w:b/>
                <w:bCs/>
              </w:rPr>
            </m:ctrlPr>
          </m:sup>
        </m:sSubSup>
      </m:oMath>
      <w:r w:rsidRPr="00667728">
        <w:rPr>
          <w:b/>
          <w:bCs/>
        </w:rPr>
        <w:t xml:space="preserve">, </w:t>
      </w:r>
    </w:p>
    <w:p w14:paraId="5AB194D5" w14:textId="77777777" w:rsidR="00746ABA" w:rsidRPr="00667728" w:rsidRDefault="00746ABA" w:rsidP="00746ABA">
      <w:pPr>
        <w:pStyle w:val="ListParagraph"/>
        <w:numPr>
          <w:ilvl w:val="1"/>
          <w:numId w:val="27"/>
        </w:numPr>
        <w:rPr>
          <w:b/>
          <w:bCs/>
        </w:rPr>
      </w:pP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PDCCH,S</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cells,S</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source. </w:t>
      </w:r>
    </w:p>
    <w:p w14:paraId="69A799A0" w14:textId="77777777" w:rsidR="00746ABA" w:rsidRPr="00667728" w:rsidRDefault="00746ABA" w:rsidP="00746ABA">
      <w:pPr>
        <w:pStyle w:val="ListParagraph"/>
        <w:numPr>
          <w:ilvl w:val="1"/>
          <w:numId w:val="27"/>
        </w:numPr>
        <w:rPr>
          <w:b/>
          <w:bCs/>
        </w:rPr>
      </w:pPr>
      <w:r w:rsidRPr="00667728">
        <w:rPr>
          <w:b/>
          <w:bCs/>
        </w:rPr>
        <w:t xml:space="preserve">Furthermore, </w:t>
      </w:r>
      <w:r w:rsidRPr="00667728">
        <w:rPr>
          <w:b/>
          <w:bCs/>
          <w:lang w:eastAsia="ko-KR"/>
        </w:rPr>
        <w:t xml:space="preserve">the UE is not required to monitor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PDCCH,T</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M</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PDCCH candidates or more than </w:t>
      </w:r>
      <m:oMath>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total,slot,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d>
          <m:dPr>
            <m:begChr m:val="⌊"/>
            <m:endChr m:val="⌋"/>
            <m:ctrlPr>
              <w:rPr>
                <w:rFonts w:ascii="Cambria Math" w:hAnsi="Cambria Math" w:cs="Calibri"/>
                <w:b/>
                <w:bCs/>
                <w:i/>
                <w:sz w:val="22"/>
                <w:szCs w:val="22"/>
              </w:rPr>
            </m:ctrlPr>
          </m:dPr>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cap</m:t>
                </m:r>
                <m:ctrlPr>
                  <w:rPr>
                    <w:rFonts w:ascii="Cambria Math" w:hAnsi="Cambria Math" w:cs="Calibri"/>
                    <w:b/>
                    <w:bCs/>
                    <w:sz w:val="22"/>
                    <w:szCs w:val="22"/>
                  </w:rPr>
                </m:ctrlPr>
              </m:sup>
            </m:sSubSup>
            <m:r>
              <m:rPr>
                <m:sty m:val="bi"/>
              </m:rPr>
              <w:rPr>
                <w:rFonts w:ascii="Cambria Math" w:hAnsi="Cambria Math" w:cs="Calibri"/>
                <w:sz w:val="22"/>
                <w:szCs w:val="22"/>
              </w:rPr>
              <m:t>⋅</m:t>
            </m:r>
            <m:sSubSup>
              <m:sSubSupPr>
                <m:ctrlPr>
                  <w:rPr>
                    <w:rFonts w:ascii="Cambria Math" w:hAnsi="Cambria Math" w:cs="Calibri"/>
                    <w:b/>
                    <w:bCs/>
                    <w:i/>
                    <w:sz w:val="22"/>
                    <w:szCs w:val="22"/>
                  </w:rPr>
                </m:ctrlPr>
              </m:sSubSupPr>
              <m:e>
                <m:r>
                  <m:rPr>
                    <m:sty m:val="bi"/>
                  </m:rPr>
                  <w:rPr>
                    <w:rFonts w:ascii="Cambria Math" w:hAnsi="Cambria Math" w:cs="Calibri"/>
                    <w:sz w:val="22"/>
                    <w:szCs w:val="22"/>
                  </w:rPr>
                  <m:t>C</m:t>
                </m:r>
              </m:e>
              <m:sub>
                <m:r>
                  <m:rPr>
                    <m:nor/>
                  </m:rPr>
                  <w:rPr>
                    <w:rFonts w:ascii="Cambria Math" w:hAnsi="Cambria Math" w:cs="Calibri"/>
                    <w:b/>
                    <w:bCs/>
                    <w:sz w:val="22"/>
                    <w:szCs w:val="22"/>
                  </w:rPr>
                  <m:t>PDCCH</m:t>
                </m:r>
                <m:ctrlPr>
                  <w:rPr>
                    <w:rFonts w:ascii="Cambria Math" w:hAnsi="Cambria Math" w:cs="Calibri"/>
                    <w:b/>
                    <w:bCs/>
                    <w:sz w:val="22"/>
                    <w:szCs w:val="22"/>
                  </w:rPr>
                </m:ctrlPr>
              </m:sub>
              <m:sup>
                <m:r>
                  <m:rPr>
                    <m:nor/>
                  </m:rPr>
                  <w:rPr>
                    <w:rFonts w:ascii="Cambria Math" w:hAnsi="Cambria Math" w:cs="Calibri"/>
                    <w:b/>
                    <w:bCs/>
                    <w:sz w:val="22"/>
                    <w:szCs w:val="22"/>
                  </w:rPr>
                  <m:t>max,slot,</m:t>
                </m:r>
                <m:r>
                  <m:rPr>
                    <m:sty m:val="bi"/>
                  </m:rPr>
                  <w:rPr>
                    <w:rFonts w:ascii="Cambria Math" w:hAnsi="Cambria Math" w:cs="Calibri"/>
                    <w:sz w:val="22"/>
                    <w:szCs w:val="22"/>
                  </w:rPr>
                  <m:t>μ</m:t>
                </m:r>
                <m:ctrlPr>
                  <w:rPr>
                    <w:rFonts w:ascii="Cambria Math" w:hAnsi="Cambria Math" w:cs="Calibri"/>
                    <w:b/>
                    <w:bCs/>
                    <w:sz w:val="22"/>
                    <w:szCs w:val="22"/>
                  </w:rPr>
                </m:ctrlPr>
              </m:sup>
            </m:sSubSup>
            <m:r>
              <m:rPr>
                <m:sty m:val="bi"/>
              </m:rPr>
              <w:rPr>
                <w:rFonts w:ascii="Cambria Math" w:hAnsi="Cambria Math" w:cs="Calibri"/>
                <w:sz w:val="22"/>
                <w:szCs w:val="22"/>
              </w:rPr>
              <m:t>⋅</m:t>
            </m:r>
            <m:f>
              <m:fPr>
                <m:type m:val="lin"/>
                <m:ctrlPr>
                  <w:rPr>
                    <w:rFonts w:ascii="Cambria Math" w:hAnsi="Cambria Math" w:cs="Calibri"/>
                    <w:b/>
                    <w:bCs/>
                    <w:i/>
                    <w:sz w:val="22"/>
                    <w:szCs w:val="22"/>
                  </w:rPr>
                </m:ctrlPr>
              </m:fPr>
              <m:num>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cells,T</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μ</m:t>
                    </m:r>
                    <m:ctrlPr>
                      <w:rPr>
                        <w:rFonts w:ascii="Cambria Math" w:hAnsi="Cambria Math" w:cs="Calibri"/>
                        <w:b/>
                        <w:bCs/>
                        <w:sz w:val="22"/>
                        <w:szCs w:val="22"/>
                      </w:rPr>
                    </m:ctrlPr>
                  </m:sup>
                </m:sSubSup>
              </m:num>
              <m:den>
                <m:nary>
                  <m:naryPr>
                    <m:chr m:val="∑"/>
                    <m:ctrlPr>
                      <w:rPr>
                        <w:rFonts w:ascii="Cambria Math" w:hAnsi="Cambria Math" w:cs="Calibri"/>
                        <w:b/>
                        <w:bCs/>
                        <w:i/>
                        <w:sz w:val="22"/>
                        <w:szCs w:val="22"/>
                      </w:rPr>
                    </m:ctrlPr>
                  </m:naryPr>
                  <m:sub>
                    <m:r>
                      <m:rPr>
                        <m:sty m:val="bi"/>
                      </m:rPr>
                      <w:rPr>
                        <w:rFonts w:ascii="Cambria Math" w:hAnsi="Cambria Math" w:cs="Calibri"/>
                        <w:sz w:val="22"/>
                        <w:szCs w:val="22"/>
                      </w:rPr>
                      <m:t>j=0</m:t>
                    </m:r>
                  </m:sub>
                  <m:sup>
                    <m:r>
                      <m:rPr>
                        <m:sty m:val="bi"/>
                      </m:rPr>
                      <w:rPr>
                        <w:rFonts w:ascii="Cambria Math" w:hAnsi="Cambria Math" w:cs="Calibri"/>
                        <w:sz w:val="22"/>
                        <w:szCs w:val="22"/>
                      </w:rPr>
                      <m:t>3</m:t>
                    </m:r>
                  </m:sup>
                  <m:e>
                    <m:sSubSup>
                      <m:sSubSupPr>
                        <m:ctrlPr>
                          <w:rPr>
                            <w:rFonts w:ascii="Cambria Math" w:hAnsi="Cambria Math" w:cs="Calibri"/>
                            <w:b/>
                            <w:bCs/>
                            <w:i/>
                            <w:sz w:val="22"/>
                            <w:szCs w:val="22"/>
                          </w:rPr>
                        </m:ctrlPr>
                      </m:sSubSupPr>
                      <m:e>
                        <m:r>
                          <m:rPr>
                            <m:sty m:val="bi"/>
                          </m:rPr>
                          <w:rPr>
                            <w:rFonts w:ascii="Cambria Math" w:hAnsi="Cambria Math" w:cs="Calibri"/>
                            <w:sz w:val="22"/>
                            <w:szCs w:val="22"/>
                          </w:rPr>
                          <m:t>N</m:t>
                        </m:r>
                      </m:e>
                      <m:sub>
                        <m:r>
                          <m:rPr>
                            <m:nor/>
                          </m:rPr>
                          <w:rPr>
                            <w:rFonts w:ascii="Cambria Math" w:hAnsi="Cambria Math" w:cs="Calibri"/>
                            <w:b/>
                            <w:bCs/>
                            <w:sz w:val="22"/>
                            <w:szCs w:val="22"/>
                          </w:rPr>
                          <m:t>cells</m:t>
                        </m:r>
                        <m:ctrlPr>
                          <w:rPr>
                            <w:rFonts w:ascii="Cambria Math" w:hAnsi="Cambria Math" w:cs="Calibri"/>
                            <w:b/>
                            <w:bCs/>
                            <w:sz w:val="22"/>
                            <w:szCs w:val="22"/>
                          </w:rPr>
                        </m:ctrlPr>
                      </m:sub>
                      <m:sup>
                        <m:r>
                          <m:rPr>
                            <m:nor/>
                          </m:rPr>
                          <w:rPr>
                            <w:rFonts w:ascii="Cambria Math" w:hAnsi="Cambria Math" w:cs="Calibri"/>
                            <w:b/>
                            <w:bCs/>
                            <w:sz w:val="22"/>
                            <w:szCs w:val="22"/>
                          </w:rPr>
                          <m:t>DL,</m:t>
                        </m:r>
                        <m:r>
                          <m:rPr>
                            <m:sty m:val="bi"/>
                          </m:rPr>
                          <w:rPr>
                            <w:rFonts w:ascii="Cambria Math" w:hAnsi="Cambria Math" w:cs="Calibri"/>
                            <w:sz w:val="22"/>
                            <w:szCs w:val="22"/>
                          </w:rPr>
                          <m:t>j</m:t>
                        </m:r>
                        <m:ctrlPr>
                          <w:rPr>
                            <w:rFonts w:ascii="Cambria Math" w:hAnsi="Cambria Math" w:cs="Calibri"/>
                            <w:b/>
                            <w:bCs/>
                            <w:sz w:val="22"/>
                            <w:szCs w:val="22"/>
                          </w:rPr>
                        </m:ctrlPr>
                      </m:sup>
                    </m:sSubSup>
                  </m:e>
                </m:nary>
              </m:den>
            </m:f>
          </m:e>
        </m:d>
      </m:oMath>
      <w:r w:rsidRPr="00667728">
        <w:rPr>
          <w:b/>
          <w:bCs/>
        </w:rPr>
        <w:t xml:space="preserve"> non-overlapped CCEs per slot on the active DL BWP(s) of scheduling cell(s) from the </w:t>
      </w:r>
      <m:oMath>
        <m:sSubSup>
          <m:sSubSupPr>
            <m:ctrlPr>
              <w:rPr>
                <w:rFonts w:ascii="Cambria Math" w:hAnsi="Cambria Math"/>
                <w:b/>
                <w:bCs/>
                <w:i/>
              </w:rPr>
            </m:ctrlPr>
          </m:sSubSupPr>
          <m:e>
            <m:r>
              <m:rPr>
                <m:sty m:val="bi"/>
              </m:rPr>
              <w:rPr>
                <w:rFonts w:ascii="Cambria Math"/>
              </w:rPr>
              <m:t>N</m:t>
            </m:r>
          </m:e>
          <m:sub>
            <m:r>
              <m:rPr>
                <m:nor/>
              </m:rPr>
              <w:rPr>
                <w:rFonts w:ascii="Cambria Math"/>
                <w:b/>
                <w:bCs/>
              </w:rPr>
              <m:t>cells,T</m:t>
            </m:r>
            <m:ctrlPr>
              <w:rPr>
                <w:rFonts w:ascii="Cambria Math" w:hAnsi="Cambria Math"/>
                <w:b/>
                <w:bCs/>
              </w:rPr>
            </m:ctrlPr>
          </m:sub>
          <m:sup>
            <m:r>
              <m:rPr>
                <m:nor/>
              </m:rPr>
              <w:rPr>
                <w:rFonts w:ascii="Cambria Math"/>
                <w:b/>
                <w:bCs/>
              </w:rPr>
              <m:t>DL,</m:t>
            </m:r>
            <m:r>
              <m:rPr>
                <m:sty m:val="bi"/>
              </m:rPr>
              <w:rPr>
                <w:rFonts w:ascii="Cambria Math"/>
              </w:rPr>
              <m:t>μ</m:t>
            </m:r>
            <m:ctrlPr>
              <w:rPr>
                <w:rFonts w:ascii="Cambria Math" w:hAnsi="Cambria Math"/>
                <w:b/>
                <w:bCs/>
              </w:rPr>
            </m:ctrlPr>
          </m:sup>
        </m:sSubSup>
      </m:oMath>
      <w:r w:rsidRPr="00667728">
        <w:rPr>
          <w:b/>
          <w:bCs/>
        </w:rPr>
        <w:t xml:space="preserve"> downlink cells at the target.</w:t>
      </w:r>
    </w:p>
    <w:p w14:paraId="5E3DCC92" w14:textId="5DBD7EB1" w:rsidR="00746ABA" w:rsidRDefault="00746ABA" w:rsidP="00746ABA">
      <w:pPr>
        <w:rPr>
          <w:b/>
          <w:bCs/>
          <w:lang w:eastAsia="zh-CN"/>
        </w:rPr>
      </w:pPr>
      <w:r w:rsidRPr="00667728">
        <w:rPr>
          <w:b/>
          <w:bCs/>
        </w:rPr>
        <w:t xml:space="preserve">For each scheduled cell, the UE is not required to monitor on the active DL BWP </w:t>
      </w:r>
      <w:r w:rsidRPr="00667728">
        <w:rPr>
          <w:b/>
          <w:bCs/>
          <w:lang w:eastAsia="ko-KR"/>
        </w:rPr>
        <w:t xml:space="preserve">with </w:t>
      </w:r>
      <w:r w:rsidRPr="00667728">
        <w:rPr>
          <w:b/>
          <w:bCs/>
        </w:rPr>
        <w:t xml:space="preserve">SCS configuration </w:t>
      </w:r>
      <m:oMath>
        <m:r>
          <m:rPr>
            <m:sty m:val="bi"/>
          </m:rPr>
          <w:rPr>
            <w:rFonts w:ascii="Cambria Math" w:hAnsi="Cambria Math"/>
          </w:rPr>
          <m:t>μ</m:t>
        </m:r>
      </m:oMath>
      <w:r w:rsidRPr="00667728">
        <w:rPr>
          <w:b/>
          <w:bCs/>
        </w:rPr>
        <w:t xml:space="preserve"> of the scheduling cell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M</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PDCCH candidates or more than </w:t>
      </w:r>
      <m:oMath>
        <m:func>
          <m:funcPr>
            <m:ctrlPr>
              <w:rPr>
                <w:rFonts w:ascii="Cambria Math" w:hAnsi="Cambria Math"/>
                <w:b/>
                <w:bCs/>
                <w:i/>
              </w:rPr>
            </m:ctrlPr>
          </m:funcPr>
          <m:fName>
            <m:r>
              <m:rPr>
                <m:sty m:val="bi"/>
              </m:rPr>
              <w:rPr>
                <w:rFonts w:asci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max,slot,</m:t>
                    </m:r>
                    <m:r>
                      <m:rPr>
                        <m:sty m:val="bi"/>
                      </m:rPr>
                      <w:rPr>
                        <w:rFonts w:ascii="Cambria Math"/>
                      </w:rPr>
                      <m:t>μ</m:t>
                    </m:r>
                    <m:ctrlPr>
                      <w:rPr>
                        <w:rFonts w:ascii="Cambria Math" w:hAnsi="Cambria Math"/>
                        <w:b/>
                        <w:bCs/>
                      </w:rPr>
                    </m:ctrlPr>
                  </m:sup>
                </m:sSubSup>
                <m:r>
                  <m:rPr>
                    <m:sty m:val="bi"/>
                  </m:rPr>
                  <w:rPr>
                    <w:rFonts w:ascii="Cambria Math"/>
                  </w:rPr>
                  <m:t>,</m:t>
                </m:r>
                <m:sSubSup>
                  <m:sSubSupPr>
                    <m:ctrlPr>
                      <w:rPr>
                        <w:rFonts w:ascii="Cambria Math" w:hAnsi="Cambria Math"/>
                        <w:b/>
                        <w:bCs/>
                        <w:i/>
                      </w:rPr>
                    </m:ctrlPr>
                  </m:sSubSupPr>
                  <m:e>
                    <m:r>
                      <m:rPr>
                        <m:sty m:val="bi"/>
                      </m:rPr>
                      <w:rPr>
                        <w:rFonts w:ascii="Cambria Math"/>
                      </w:rPr>
                      <m:t>C</m:t>
                    </m:r>
                  </m:e>
                  <m:sub>
                    <m:r>
                      <m:rPr>
                        <m:nor/>
                      </m:rPr>
                      <w:rPr>
                        <w:rFonts w:ascii="Cambria Math"/>
                        <w:b/>
                        <w:bCs/>
                      </w:rPr>
                      <m:t>PDCCH</m:t>
                    </m:r>
                    <m:ctrlPr>
                      <w:rPr>
                        <w:rFonts w:ascii="Cambria Math" w:hAnsi="Cambria Math"/>
                        <w:b/>
                        <w:bCs/>
                      </w:rPr>
                    </m:ctrlPr>
                  </m:sub>
                  <m:sup>
                    <m:r>
                      <m:rPr>
                        <m:nor/>
                      </m:rPr>
                      <w:rPr>
                        <w:rFonts w:ascii="Cambria Math"/>
                        <w:b/>
                        <w:bCs/>
                      </w:rPr>
                      <m:t>total,slot,</m:t>
                    </m:r>
                    <m:r>
                      <m:rPr>
                        <m:sty m:val="bi"/>
                      </m:rPr>
                      <w:rPr>
                        <w:rFonts w:ascii="Cambria Math"/>
                      </w:rPr>
                      <m:t>μ</m:t>
                    </m:r>
                    <m:ctrlPr>
                      <w:rPr>
                        <w:rFonts w:ascii="Cambria Math" w:hAnsi="Cambria Math"/>
                        <w:b/>
                        <w:bCs/>
                      </w:rPr>
                    </m:ctrlPr>
                  </m:sup>
                </m:sSubSup>
              </m:e>
            </m:d>
          </m:e>
        </m:func>
      </m:oMath>
      <w:r w:rsidRPr="00667728">
        <w:rPr>
          <w:b/>
          <w:bCs/>
        </w:rPr>
        <w:t xml:space="preserve"> non-overlapped CCEs per slot.</w:t>
      </w:r>
    </w:p>
    <w:p w14:paraId="1FCD45A9" w14:textId="77777777" w:rsidR="00C67790" w:rsidRDefault="00C67790" w:rsidP="00C67790">
      <w:pPr>
        <w:rPr>
          <w:lang w:eastAsia="zh-CN"/>
        </w:rPr>
      </w:pPr>
      <w:r w:rsidRPr="009331D2">
        <w:rPr>
          <w:b/>
          <w:bCs/>
          <w:lang w:eastAsia="zh-CN"/>
        </w:rPr>
        <w:t>Proposal</w:t>
      </w:r>
      <w:r>
        <w:rPr>
          <w:b/>
          <w:bCs/>
          <w:lang w:eastAsia="zh-CN"/>
        </w:rPr>
        <w:t xml:space="preserve"> 5</w:t>
      </w:r>
      <w:r w:rsidRPr="009331D2">
        <w:rPr>
          <w:b/>
          <w:bCs/>
          <w:lang w:eastAsia="zh-CN"/>
        </w:rPr>
        <w:t xml:space="preserve">: When a UE is configured to monitor PDCCH from source and target in a slot during DAPS HO, </w:t>
      </w:r>
      <w:r>
        <w:rPr>
          <w:b/>
          <w:bCs/>
          <w:lang w:eastAsia="zh-CN"/>
        </w:rPr>
        <w:t>the UE is not expected to be provided with PDCCH configuration leading to PDCCH overbooking at both source and target cells.</w:t>
      </w:r>
    </w:p>
    <w:p w14:paraId="1460B35F" w14:textId="20E70A4A" w:rsidR="00746535" w:rsidRPr="00E3001B" w:rsidRDefault="00746535" w:rsidP="00746535">
      <w:pPr>
        <w:rPr>
          <w:b/>
          <w:bCs/>
          <w:lang w:eastAsia="zh-CN"/>
        </w:rPr>
      </w:pPr>
      <w:r w:rsidRPr="00E3001B">
        <w:rPr>
          <w:b/>
          <w:bCs/>
          <w:lang w:eastAsia="zh-CN"/>
        </w:rPr>
        <w:t xml:space="preserve">Proposal </w:t>
      </w:r>
      <w:r w:rsidR="00C67790">
        <w:rPr>
          <w:b/>
          <w:bCs/>
          <w:lang w:eastAsia="zh-CN"/>
        </w:rPr>
        <w:t>6</w:t>
      </w:r>
      <w:r w:rsidRPr="00E3001B">
        <w:rPr>
          <w:b/>
          <w:bCs/>
          <w:lang w:eastAsia="zh-CN"/>
        </w:rPr>
        <w:t xml:space="preserve">:  BWP switching should not be supported for </w:t>
      </w:r>
      <w:r w:rsidR="006D1381">
        <w:rPr>
          <w:b/>
          <w:bCs/>
          <w:lang w:eastAsia="zh-CN"/>
        </w:rPr>
        <w:t xml:space="preserve">both </w:t>
      </w:r>
      <w:r w:rsidRPr="00E3001B">
        <w:rPr>
          <w:b/>
          <w:bCs/>
          <w:lang w:eastAsia="zh-CN"/>
        </w:rPr>
        <w:t xml:space="preserve">UL </w:t>
      </w:r>
      <w:r w:rsidR="006D1381">
        <w:rPr>
          <w:b/>
          <w:bCs/>
          <w:lang w:eastAsia="zh-CN"/>
        </w:rPr>
        <w:t xml:space="preserve">BWP </w:t>
      </w:r>
      <w:r w:rsidRPr="00E3001B">
        <w:rPr>
          <w:b/>
          <w:bCs/>
          <w:lang w:eastAsia="zh-CN"/>
        </w:rPr>
        <w:t>and DL BWP during DAPS HO.</w:t>
      </w:r>
    </w:p>
    <w:p w14:paraId="5CCDF809" w14:textId="54A4EA96" w:rsidR="00746535" w:rsidRPr="00E3001B" w:rsidRDefault="00746535" w:rsidP="00746535">
      <w:pPr>
        <w:rPr>
          <w:b/>
          <w:bCs/>
          <w:lang w:eastAsia="zh-CN"/>
        </w:rPr>
      </w:pPr>
      <w:r w:rsidRPr="00E3001B">
        <w:rPr>
          <w:b/>
          <w:bCs/>
          <w:lang w:eastAsia="zh-CN"/>
        </w:rPr>
        <w:t>Proposal</w:t>
      </w:r>
      <w:r>
        <w:rPr>
          <w:b/>
          <w:bCs/>
          <w:lang w:eastAsia="zh-CN"/>
        </w:rPr>
        <w:t xml:space="preserve"> </w:t>
      </w:r>
      <w:r w:rsidR="00C67790">
        <w:rPr>
          <w:b/>
          <w:bCs/>
          <w:lang w:eastAsia="zh-CN"/>
        </w:rPr>
        <w:t>7</w:t>
      </w:r>
      <w:r w:rsidRPr="00E3001B">
        <w:rPr>
          <w:b/>
          <w:bCs/>
          <w:lang w:eastAsia="zh-CN"/>
        </w:rPr>
        <w:t>: For FR1-FR1 intra-frequency handover, the active DL BWP of the target cell is the same as the active DL BWP of the source cell</w:t>
      </w:r>
      <w:r w:rsidR="0066446C">
        <w:rPr>
          <w:b/>
          <w:bCs/>
          <w:lang w:eastAsia="zh-CN"/>
        </w:rPr>
        <w:t xml:space="preserve"> to enable simultaneous Rx</w:t>
      </w:r>
      <w:r w:rsidRPr="00E3001B">
        <w:rPr>
          <w:b/>
          <w:bCs/>
          <w:lang w:eastAsia="zh-CN"/>
        </w:rPr>
        <w:t>.</w:t>
      </w:r>
    </w:p>
    <w:p w14:paraId="64B157C5" w14:textId="03BB7480" w:rsidR="00746535" w:rsidRDefault="00746535" w:rsidP="00746535">
      <w:pPr>
        <w:rPr>
          <w:b/>
          <w:bCs/>
          <w:lang w:eastAsia="zh-CN"/>
        </w:rPr>
      </w:pPr>
      <w:r w:rsidRPr="00E3001B">
        <w:rPr>
          <w:b/>
          <w:bCs/>
          <w:lang w:eastAsia="zh-CN"/>
        </w:rPr>
        <w:t>Proposal</w:t>
      </w:r>
      <w:r>
        <w:rPr>
          <w:b/>
          <w:bCs/>
          <w:lang w:eastAsia="zh-CN"/>
        </w:rPr>
        <w:t xml:space="preserve"> </w:t>
      </w:r>
      <w:r w:rsidR="00C67790">
        <w:rPr>
          <w:b/>
          <w:bCs/>
          <w:lang w:eastAsia="zh-CN"/>
        </w:rPr>
        <w:t>8</w:t>
      </w:r>
      <w:r w:rsidRPr="00E3001B">
        <w:rPr>
          <w:b/>
          <w:bCs/>
          <w:lang w:eastAsia="zh-CN"/>
        </w:rPr>
        <w:t>: For the synchronous case with FR1-FR1 inter-frequency intra-band HO, the active DL BWP of the target cell does not overlap with the active DL BWP of the source cell</w:t>
      </w:r>
      <w:r w:rsidR="0066446C">
        <w:rPr>
          <w:b/>
          <w:bCs/>
          <w:lang w:eastAsia="zh-CN"/>
        </w:rPr>
        <w:t xml:space="preserve"> to enable simultaneous Rx</w:t>
      </w:r>
      <w:r w:rsidRPr="00E3001B">
        <w:rPr>
          <w:b/>
          <w:bCs/>
          <w:lang w:eastAsia="zh-CN"/>
        </w:rPr>
        <w:t>.</w:t>
      </w:r>
    </w:p>
    <w:p w14:paraId="49D0C726" w14:textId="574CD6FA" w:rsidR="00C67790" w:rsidRPr="00C67790" w:rsidRDefault="00C67790" w:rsidP="00C67790">
      <w:pPr>
        <w:rPr>
          <w:b/>
          <w:lang w:val="en-GB"/>
        </w:rPr>
      </w:pPr>
      <w:r w:rsidRPr="00C67790">
        <w:rPr>
          <w:b/>
        </w:rPr>
        <w:t xml:space="preserve">Proposal 9: RAN1 should discuss whether mTRP operation </w:t>
      </w:r>
      <w:r w:rsidR="0066446C">
        <w:rPr>
          <w:b/>
        </w:rPr>
        <w:t>should be</w:t>
      </w:r>
      <w:r w:rsidRPr="00C67790">
        <w:rPr>
          <w:b/>
        </w:rPr>
        <w:t xml:space="preserve"> supported during DAPS HO.</w:t>
      </w:r>
    </w:p>
    <w:bookmarkEnd w:id="5"/>
    <w:p w14:paraId="02810CFE" w14:textId="77777777" w:rsidR="00746535" w:rsidRDefault="00746535" w:rsidP="00746535">
      <w:pPr>
        <w:pStyle w:val="Heading1"/>
      </w:pPr>
      <w:r>
        <w:t>Reference</w:t>
      </w:r>
    </w:p>
    <w:p w14:paraId="2BDC1962" w14:textId="77777777" w:rsidR="00746535" w:rsidRPr="005705EB" w:rsidRDefault="00746535" w:rsidP="00746535">
      <w:pPr>
        <w:numPr>
          <w:ilvl w:val="0"/>
          <w:numId w:val="25"/>
        </w:numPr>
        <w:spacing w:before="100" w:beforeAutospacing="1" w:after="100" w:afterAutospacing="1"/>
        <w:ind w:left="1350" w:hanging="1350"/>
        <w:textAlignment w:val="auto"/>
      </w:pPr>
      <w:bookmarkStart w:id="6" w:name="_Ref4750095"/>
      <w:bookmarkStart w:id="7" w:name="_Ref7515897"/>
      <w:r>
        <w:t>TS 38.</w:t>
      </w:r>
      <w:bookmarkStart w:id="8" w:name="_Ref21008355"/>
      <w:bookmarkEnd w:id="6"/>
      <w:bookmarkEnd w:id="7"/>
      <w:r>
        <w:rPr>
          <w:color w:val="000000"/>
          <w:lang w:eastAsia="en-GB"/>
        </w:rPr>
        <w:t>213-f70</w:t>
      </w:r>
      <w:bookmarkEnd w:id="8"/>
      <w:r>
        <w:rPr>
          <w:color w:val="000000"/>
          <w:lang w:eastAsia="en-GB"/>
        </w:rPr>
        <w:t xml:space="preserve"> </w:t>
      </w:r>
    </w:p>
    <w:p w14:paraId="35C6856B" w14:textId="77777777" w:rsidR="00746535" w:rsidRDefault="00746535" w:rsidP="00746535">
      <w:pPr>
        <w:numPr>
          <w:ilvl w:val="0"/>
          <w:numId w:val="25"/>
        </w:numPr>
        <w:spacing w:before="100" w:beforeAutospacing="1" w:after="100" w:afterAutospacing="1"/>
        <w:ind w:left="1350" w:hanging="1350"/>
        <w:textAlignment w:val="auto"/>
      </w:pPr>
      <w:bookmarkStart w:id="9" w:name="_Ref23934789"/>
      <w:r>
        <w:t>TS 38.133-f70</w:t>
      </w:r>
      <w:bookmarkEnd w:id="9"/>
    </w:p>
    <w:p w14:paraId="1814FB20" w14:textId="167BF84D" w:rsidR="00224BA3" w:rsidRDefault="00746535" w:rsidP="00746535">
      <w:pPr>
        <w:numPr>
          <w:ilvl w:val="0"/>
          <w:numId w:val="25"/>
        </w:numPr>
        <w:spacing w:before="100" w:beforeAutospacing="1" w:after="100" w:afterAutospacing="1"/>
        <w:ind w:left="1350" w:hanging="1350"/>
        <w:textAlignment w:val="auto"/>
      </w:pPr>
      <w:bookmarkStart w:id="10" w:name="_Ref23946509"/>
      <w:r w:rsidRPr="000765FD">
        <w:t>R1-1905780</w:t>
      </w:r>
      <w:r>
        <w:t xml:space="preserve">, </w:t>
      </w:r>
      <w:r w:rsidRPr="000765FD">
        <w:t>Reply LS on NR mobility enhancements</w:t>
      </w:r>
      <w:bookmarkEnd w:id="10"/>
    </w:p>
    <w:sectPr w:rsidR="00224BA3"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DE26A" w14:textId="77777777" w:rsidR="0087613F" w:rsidRDefault="0087613F" w:rsidP="00746535">
      <w:pPr>
        <w:spacing w:after="0"/>
      </w:pPr>
      <w:r>
        <w:separator/>
      </w:r>
    </w:p>
  </w:endnote>
  <w:endnote w:type="continuationSeparator" w:id="0">
    <w:p w14:paraId="4F7B815D" w14:textId="77777777" w:rsidR="0087613F" w:rsidRDefault="0087613F"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287"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81371" w14:textId="77777777" w:rsidR="0087613F" w:rsidRDefault="0087613F" w:rsidP="00746535">
      <w:pPr>
        <w:spacing w:after="0"/>
      </w:pPr>
      <w:r>
        <w:separator/>
      </w:r>
    </w:p>
  </w:footnote>
  <w:footnote w:type="continuationSeparator" w:id="0">
    <w:p w14:paraId="7506B8E2" w14:textId="77777777" w:rsidR="0087613F" w:rsidRDefault="0087613F"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0"/>
  </w:num>
  <w:num w:numId="3">
    <w:abstractNumId w:val="30"/>
  </w:num>
  <w:num w:numId="4">
    <w:abstractNumId w:val="21"/>
  </w:num>
  <w:num w:numId="5">
    <w:abstractNumId w:val="18"/>
  </w:num>
  <w:num w:numId="6">
    <w:abstractNumId w:val="5"/>
  </w:num>
  <w:num w:numId="7">
    <w:abstractNumId w:val="28"/>
  </w:num>
  <w:num w:numId="8">
    <w:abstractNumId w:val="16"/>
  </w:num>
  <w:num w:numId="9">
    <w:abstractNumId w:val="25"/>
  </w:num>
  <w:num w:numId="10">
    <w:abstractNumId w:val="19"/>
  </w:num>
  <w:num w:numId="11">
    <w:abstractNumId w:val="12"/>
  </w:num>
  <w:num w:numId="12">
    <w:abstractNumId w:val="2"/>
  </w:num>
  <w:num w:numId="13">
    <w:abstractNumId w:val="3"/>
  </w:num>
  <w:num w:numId="14">
    <w:abstractNumId w:val="26"/>
  </w:num>
  <w:num w:numId="15">
    <w:abstractNumId w:val="0"/>
  </w:num>
  <w:num w:numId="16">
    <w:abstractNumId w:val="22"/>
  </w:num>
  <w:num w:numId="17">
    <w:abstractNumId w:val="23"/>
  </w:num>
  <w:num w:numId="18">
    <w:abstractNumId w:val="29"/>
  </w:num>
  <w:num w:numId="19">
    <w:abstractNumId w:val="13"/>
  </w:num>
  <w:num w:numId="20">
    <w:abstractNumId w:val="17"/>
  </w:num>
  <w:num w:numId="21">
    <w:abstractNumId w:val="15"/>
  </w:num>
  <w:num w:numId="22">
    <w:abstractNumId w:val="14"/>
  </w:num>
  <w:num w:numId="23">
    <w:abstractNumId w:val="11"/>
  </w:num>
  <w:num w:numId="24">
    <w:abstractNumId w:val="7"/>
  </w:num>
  <w:num w:numId="25">
    <w:abstractNumId w:val="1"/>
    <w:lvlOverride w:ilvl="0">
      <w:startOverride w:val="1"/>
    </w:lvlOverride>
  </w:num>
  <w:num w:numId="26">
    <w:abstractNumId w:val="9"/>
  </w:num>
  <w:num w:numId="27">
    <w:abstractNumId w:val="10"/>
  </w:num>
  <w:num w:numId="28">
    <w:abstractNumId w:val="6"/>
  </w:num>
  <w:num w:numId="29">
    <w:abstractNumId w:val="24"/>
  </w:num>
  <w:num w:numId="30">
    <w:abstractNumId w:va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13DF7"/>
    <w:rsid w:val="000228CC"/>
    <w:rsid w:val="000231C0"/>
    <w:rsid w:val="0003430D"/>
    <w:rsid w:val="00054543"/>
    <w:rsid w:val="00054AE5"/>
    <w:rsid w:val="00062718"/>
    <w:rsid w:val="00090F2F"/>
    <w:rsid w:val="000A7317"/>
    <w:rsid w:val="000B3C26"/>
    <w:rsid w:val="000D4892"/>
    <w:rsid w:val="00137F94"/>
    <w:rsid w:val="00175632"/>
    <w:rsid w:val="001A110A"/>
    <w:rsid w:val="001B1669"/>
    <w:rsid w:val="001B2355"/>
    <w:rsid w:val="00215B80"/>
    <w:rsid w:val="0022093A"/>
    <w:rsid w:val="00224BA3"/>
    <w:rsid w:val="0024332F"/>
    <w:rsid w:val="00247523"/>
    <w:rsid w:val="00260FB9"/>
    <w:rsid w:val="00273C47"/>
    <w:rsid w:val="00292883"/>
    <w:rsid w:val="002A709C"/>
    <w:rsid w:val="002A7B15"/>
    <w:rsid w:val="002B1AE2"/>
    <w:rsid w:val="002B4CDB"/>
    <w:rsid w:val="002C225D"/>
    <w:rsid w:val="0031510A"/>
    <w:rsid w:val="00322F63"/>
    <w:rsid w:val="003346F0"/>
    <w:rsid w:val="00342965"/>
    <w:rsid w:val="0035056C"/>
    <w:rsid w:val="00390DD4"/>
    <w:rsid w:val="003B5254"/>
    <w:rsid w:val="003B7686"/>
    <w:rsid w:val="003C4F56"/>
    <w:rsid w:val="003C7FA2"/>
    <w:rsid w:val="003E0D33"/>
    <w:rsid w:val="003E5117"/>
    <w:rsid w:val="003F1425"/>
    <w:rsid w:val="003F214A"/>
    <w:rsid w:val="00410CCF"/>
    <w:rsid w:val="004278C1"/>
    <w:rsid w:val="00431990"/>
    <w:rsid w:val="004526F4"/>
    <w:rsid w:val="00462EDF"/>
    <w:rsid w:val="00473420"/>
    <w:rsid w:val="004772A1"/>
    <w:rsid w:val="004914D1"/>
    <w:rsid w:val="0049752F"/>
    <w:rsid w:val="004C716B"/>
    <w:rsid w:val="004D1327"/>
    <w:rsid w:val="004E67B2"/>
    <w:rsid w:val="004F295D"/>
    <w:rsid w:val="004F4610"/>
    <w:rsid w:val="00507411"/>
    <w:rsid w:val="005152A8"/>
    <w:rsid w:val="005163CE"/>
    <w:rsid w:val="005415E2"/>
    <w:rsid w:val="00554794"/>
    <w:rsid w:val="005551B3"/>
    <w:rsid w:val="00576517"/>
    <w:rsid w:val="005B0C9C"/>
    <w:rsid w:val="005C0B6B"/>
    <w:rsid w:val="005C769E"/>
    <w:rsid w:val="005E1032"/>
    <w:rsid w:val="005F2123"/>
    <w:rsid w:val="006131D0"/>
    <w:rsid w:val="006252CE"/>
    <w:rsid w:val="00627D12"/>
    <w:rsid w:val="00634C39"/>
    <w:rsid w:val="00645883"/>
    <w:rsid w:val="0066276B"/>
    <w:rsid w:val="0066446C"/>
    <w:rsid w:val="00674539"/>
    <w:rsid w:val="006B0E0C"/>
    <w:rsid w:val="006C204E"/>
    <w:rsid w:val="006D1381"/>
    <w:rsid w:val="006D764E"/>
    <w:rsid w:val="006E6EC9"/>
    <w:rsid w:val="006F38C7"/>
    <w:rsid w:val="006F40BC"/>
    <w:rsid w:val="006F4D72"/>
    <w:rsid w:val="007104FB"/>
    <w:rsid w:val="007138AF"/>
    <w:rsid w:val="00714628"/>
    <w:rsid w:val="00732335"/>
    <w:rsid w:val="007359FC"/>
    <w:rsid w:val="00740832"/>
    <w:rsid w:val="00746535"/>
    <w:rsid w:val="00746ABA"/>
    <w:rsid w:val="0076488F"/>
    <w:rsid w:val="007D6638"/>
    <w:rsid w:val="00813DE7"/>
    <w:rsid w:val="00815CB3"/>
    <w:rsid w:val="00857E3A"/>
    <w:rsid w:val="0087613F"/>
    <w:rsid w:val="00892410"/>
    <w:rsid w:val="008A4299"/>
    <w:rsid w:val="008B2264"/>
    <w:rsid w:val="008B6116"/>
    <w:rsid w:val="008E0EE9"/>
    <w:rsid w:val="008E1813"/>
    <w:rsid w:val="008F5BE4"/>
    <w:rsid w:val="00901695"/>
    <w:rsid w:val="00932B8E"/>
    <w:rsid w:val="00934D80"/>
    <w:rsid w:val="0094127A"/>
    <w:rsid w:val="009447F6"/>
    <w:rsid w:val="00951051"/>
    <w:rsid w:val="00957DC7"/>
    <w:rsid w:val="00962883"/>
    <w:rsid w:val="00964AF1"/>
    <w:rsid w:val="00966C7B"/>
    <w:rsid w:val="009761D3"/>
    <w:rsid w:val="009C52E6"/>
    <w:rsid w:val="009D2ECE"/>
    <w:rsid w:val="009E09EA"/>
    <w:rsid w:val="009E2F82"/>
    <w:rsid w:val="009E6142"/>
    <w:rsid w:val="009F4343"/>
    <w:rsid w:val="00A009B2"/>
    <w:rsid w:val="00A116F3"/>
    <w:rsid w:val="00A1257C"/>
    <w:rsid w:val="00A20F64"/>
    <w:rsid w:val="00A23FDB"/>
    <w:rsid w:val="00A4372A"/>
    <w:rsid w:val="00A51892"/>
    <w:rsid w:val="00A62DC0"/>
    <w:rsid w:val="00A93F78"/>
    <w:rsid w:val="00AC7489"/>
    <w:rsid w:val="00B27123"/>
    <w:rsid w:val="00B44098"/>
    <w:rsid w:val="00B46671"/>
    <w:rsid w:val="00B64E95"/>
    <w:rsid w:val="00B6747F"/>
    <w:rsid w:val="00B944EF"/>
    <w:rsid w:val="00BA10B3"/>
    <w:rsid w:val="00BA356E"/>
    <w:rsid w:val="00BC1530"/>
    <w:rsid w:val="00BD36DA"/>
    <w:rsid w:val="00BD7640"/>
    <w:rsid w:val="00BD7A22"/>
    <w:rsid w:val="00BE04D4"/>
    <w:rsid w:val="00BE3378"/>
    <w:rsid w:val="00BE4F87"/>
    <w:rsid w:val="00BE7C22"/>
    <w:rsid w:val="00C00294"/>
    <w:rsid w:val="00C03B4D"/>
    <w:rsid w:val="00C10BDE"/>
    <w:rsid w:val="00C25ECC"/>
    <w:rsid w:val="00C30629"/>
    <w:rsid w:val="00C545E2"/>
    <w:rsid w:val="00C67790"/>
    <w:rsid w:val="00C67974"/>
    <w:rsid w:val="00C71211"/>
    <w:rsid w:val="00C716AA"/>
    <w:rsid w:val="00CA785A"/>
    <w:rsid w:val="00CC0B59"/>
    <w:rsid w:val="00CD6108"/>
    <w:rsid w:val="00CE5778"/>
    <w:rsid w:val="00D061C5"/>
    <w:rsid w:val="00D11F72"/>
    <w:rsid w:val="00D13B30"/>
    <w:rsid w:val="00D14F38"/>
    <w:rsid w:val="00D62411"/>
    <w:rsid w:val="00D6546F"/>
    <w:rsid w:val="00D675BC"/>
    <w:rsid w:val="00D84CD2"/>
    <w:rsid w:val="00D96C5B"/>
    <w:rsid w:val="00DA016E"/>
    <w:rsid w:val="00DA49E7"/>
    <w:rsid w:val="00DB531B"/>
    <w:rsid w:val="00DC5414"/>
    <w:rsid w:val="00DE2926"/>
    <w:rsid w:val="00DF6E70"/>
    <w:rsid w:val="00E01FF8"/>
    <w:rsid w:val="00E12985"/>
    <w:rsid w:val="00E53A2A"/>
    <w:rsid w:val="00E669B0"/>
    <w:rsid w:val="00E67437"/>
    <w:rsid w:val="00E678DE"/>
    <w:rsid w:val="00ED13E3"/>
    <w:rsid w:val="00F007E2"/>
    <w:rsid w:val="00F04F6C"/>
    <w:rsid w:val="00F07053"/>
    <w:rsid w:val="00F15D3A"/>
    <w:rsid w:val="00F2284D"/>
    <w:rsid w:val="00F50886"/>
    <w:rsid w:val="00F50A9F"/>
    <w:rsid w:val="00F63DA3"/>
    <w:rsid w:val="00F9780C"/>
    <w:rsid w:val="00FC2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uiPriority w:val="99"/>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HR33RHYHUWRF-4-16022</_dlc_DocId>
    <_dlc_DocIdUrl xmlns="c06861ca-3f08-4d07-bff7-bb15bac121f4">
      <Url>https://projects.qualcomm.com/sites/pentari/_layouts/15/DocIdRedir.aspx?ID=HR33RHYHUWRF-4-16022</Url>
      <Description>HR33RHYHUWRF-4-16022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2.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4.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498182B-D573-4DF1-AA32-56FB4196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3744</Words>
  <Characters>21341</Characters>
  <Application>Microsoft Office Word</Application>
  <DocSecurity>0</DocSecurity>
  <Lines>177</Lines>
  <Paragraphs>50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PDCCH Monitoring </vt:lpstr>
      <vt:lpstr>    PDCCH Blind Decode and CCE Limit</vt:lpstr>
      <vt:lpstr>    PDCCH Overbooking</vt:lpstr>
      <vt:lpstr>BWP Switching</vt:lpstr>
      <vt:lpstr>Simultaneous Connectivity</vt:lpstr>
      <vt:lpstr>    Intra-frequency HO</vt:lpstr>
      <vt:lpstr>    Inter-frequency Intra-band HO</vt:lpstr>
      <vt:lpstr>Multi-TRP during DAPS-based HO</vt:lpstr>
      <vt:lpstr>Conclusion </vt:lpstr>
      <vt:lpstr>Reference</vt:lpstr>
    </vt:vector>
  </TitlesOfParts>
  <Company/>
  <LinksUpToDate>false</LinksUpToDate>
  <CharactersWithSpaces>25035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29</cp:revision>
  <dcterms:created xsi:type="dcterms:W3CDTF">2019-11-13T18:23:00Z</dcterms:created>
  <dcterms:modified xsi:type="dcterms:W3CDTF">2019-11-13T19:13:00Z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27b87c07-7d1d-436f-9c43-86865e2cd472</vt:lpwstr>
  </property>
</Properties>
</file>